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686" w:rsidRPr="0033253E" w:rsidRDefault="008431A3" w:rsidP="008431A3">
      <w:pPr>
        <w:pStyle w:val="a3"/>
        <w:jc w:val="center"/>
        <w:rPr>
          <w:b/>
          <w:bCs/>
        </w:rPr>
      </w:pPr>
      <w:r>
        <w:t>В Сєвєродонецькій районній державній адміністрації призначено радника</w:t>
      </w:r>
      <w:r w:rsidR="00EE1686" w:rsidRPr="0033253E">
        <w:t xml:space="preserve"> з питань забезпечення рівних прав та можливостей жінок і чоловіків, запобігання та протид</w:t>
      </w:r>
      <w:r>
        <w:t>ії насильству за ознакою статі</w:t>
      </w:r>
    </w:p>
    <w:p w:rsidR="00EE1686" w:rsidRPr="0033253E" w:rsidRDefault="00EE1686" w:rsidP="008431A3">
      <w:pPr>
        <w:jc w:val="both"/>
        <w:rPr>
          <w:b/>
          <w:bCs/>
          <w:sz w:val="24"/>
          <w:szCs w:val="24"/>
        </w:rPr>
      </w:pPr>
    </w:p>
    <w:p w:rsidR="00EE1686" w:rsidRDefault="00EE1686" w:rsidP="0079052D">
      <w:pPr>
        <w:ind w:firstLine="567"/>
        <w:jc w:val="both"/>
        <w:rPr>
          <w:sz w:val="24"/>
          <w:szCs w:val="24"/>
          <w:lang w:eastAsia="ar-SA"/>
        </w:rPr>
      </w:pPr>
      <w:r w:rsidRPr="0033253E">
        <w:rPr>
          <w:sz w:val="24"/>
          <w:szCs w:val="24"/>
          <w:lang w:eastAsia="ar-SA"/>
        </w:rPr>
        <w:t xml:space="preserve">Відповідно до постанови Кабінету Міністрів України від 09.10.2020 № 930 «Деякі питання забезпечення рівних прав та можливостей жінок і чоловіків» Радник з питань забезпечення рівних прав та можливостей жінок і чоловіків, запобігання та протидії насильству за ознакою статі взаємодіє із заступником голови райдержадміністрації, на якого покладено обов’язки уповноваженої особи (координатора) з питань забезпечення рівних прав та можливостей жінок і чоловіків, запобігання та протидії насильству </w:t>
      </w:r>
      <w:r w:rsidR="00CC0F0E">
        <w:rPr>
          <w:sz w:val="24"/>
          <w:szCs w:val="24"/>
          <w:lang w:eastAsia="ar-SA"/>
        </w:rPr>
        <w:t>за ознакою статі</w:t>
      </w:r>
      <w:r w:rsidRPr="0033253E">
        <w:rPr>
          <w:sz w:val="24"/>
          <w:szCs w:val="24"/>
          <w:lang w:eastAsia="ar-SA"/>
        </w:rPr>
        <w:t>, співпрацює з структурним підрозділом, до повноважень якого належить проведення заходів у сфері запобігання та протидії домашньому насильству та насильству за ознакою статі (УСЗН райдержадміністрації)</w:t>
      </w:r>
      <w:r w:rsidR="005B33AC">
        <w:rPr>
          <w:sz w:val="24"/>
          <w:szCs w:val="24"/>
          <w:lang w:eastAsia="ar-SA"/>
        </w:rPr>
        <w:t>.</w:t>
      </w:r>
    </w:p>
    <w:p w:rsidR="005B33AC" w:rsidRPr="002D223A" w:rsidRDefault="005B33AC" w:rsidP="005B33AC">
      <w:pPr>
        <w:ind w:firstLine="567"/>
        <w:jc w:val="both"/>
        <w:rPr>
          <w:sz w:val="24"/>
          <w:szCs w:val="24"/>
          <w:lang w:eastAsia="ar-SA"/>
        </w:rPr>
      </w:pPr>
      <w:r w:rsidRPr="002D223A">
        <w:rPr>
          <w:sz w:val="24"/>
          <w:szCs w:val="24"/>
          <w:lang w:eastAsia="ar-SA"/>
        </w:rPr>
        <w:t>Розпорядженням голови районної державної адміністрації  - начальника районної військової адміністрації від</w:t>
      </w:r>
      <w:r w:rsidR="007734DF" w:rsidRPr="002D223A">
        <w:rPr>
          <w:sz w:val="24"/>
          <w:szCs w:val="24"/>
          <w:lang w:eastAsia="ar-SA"/>
        </w:rPr>
        <w:t xml:space="preserve"> 08.12.2023 </w:t>
      </w:r>
      <w:r w:rsidR="00CC0F0E" w:rsidRPr="002D223A">
        <w:rPr>
          <w:sz w:val="24"/>
          <w:szCs w:val="24"/>
          <w:lang w:eastAsia="ar-SA"/>
        </w:rPr>
        <w:t>№</w:t>
      </w:r>
      <w:r w:rsidR="007734DF" w:rsidRPr="002D223A">
        <w:rPr>
          <w:sz w:val="24"/>
          <w:szCs w:val="24"/>
          <w:lang w:eastAsia="ar-SA"/>
        </w:rPr>
        <w:t xml:space="preserve"> 106 </w:t>
      </w:r>
      <w:r w:rsidRPr="002D223A">
        <w:rPr>
          <w:sz w:val="24"/>
          <w:szCs w:val="24"/>
          <w:lang w:eastAsia="ar-SA"/>
        </w:rPr>
        <w:t>радником з питань забезпечення рівних прав та можливостей жінок і чоловіків, запобігання та протидії насильству за ознакою статі в районній державній адміністрації визначено Логвиненко Тамару Григорівну, завідувачку відділенням Комунальної установи «Кремінський міський центр комплексної реабілітації дітей та осіб з інвалідністю «Добро».</w:t>
      </w:r>
    </w:p>
    <w:p w:rsidR="00CC0F0E" w:rsidRPr="00CC0F0E" w:rsidRDefault="00CC0F0E" w:rsidP="00CC0F0E">
      <w:pPr>
        <w:ind w:firstLine="567"/>
        <w:jc w:val="both"/>
        <w:rPr>
          <w:bCs/>
          <w:sz w:val="24"/>
          <w:szCs w:val="24"/>
          <w:highlight w:val="yellow"/>
          <w:lang w:eastAsia="ar-SA"/>
        </w:rPr>
      </w:pPr>
      <w:r w:rsidRPr="00CC0F0E">
        <w:rPr>
          <w:sz w:val="24"/>
          <w:szCs w:val="24"/>
          <w:shd w:val="clear" w:color="auto" w:fill="FFFFFF"/>
        </w:rPr>
        <w:t>Логвиненко Тамара має вищу освіту, сертифікати про підвищення кваліфікації (зокрема, проходження тренінгів, семінарів тощо з питань забезпечення рівних прав та можливостей жінок і чоловіків), відповідні навички комунікації.</w:t>
      </w:r>
    </w:p>
    <w:p w:rsidR="005B33AC" w:rsidRPr="0033253E" w:rsidRDefault="005B33AC" w:rsidP="0079052D">
      <w:pPr>
        <w:ind w:firstLine="567"/>
        <w:jc w:val="both"/>
        <w:rPr>
          <w:sz w:val="24"/>
          <w:szCs w:val="24"/>
          <w:lang w:eastAsia="ar-SA"/>
        </w:rPr>
      </w:pPr>
    </w:p>
    <w:p w:rsidR="0079052D" w:rsidRPr="0079052D" w:rsidRDefault="0079052D" w:rsidP="00EE1686">
      <w:pPr>
        <w:ind w:firstLine="567"/>
        <w:jc w:val="both"/>
        <w:rPr>
          <w:b/>
          <w:bCs/>
          <w:sz w:val="24"/>
          <w:szCs w:val="24"/>
          <w:lang w:eastAsia="ar-SA"/>
        </w:rPr>
      </w:pPr>
      <w:r w:rsidRPr="0079052D">
        <w:rPr>
          <w:b/>
          <w:bCs/>
          <w:sz w:val="24"/>
          <w:szCs w:val="24"/>
          <w:lang w:eastAsia="ar-SA"/>
        </w:rPr>
        <w:t>Основними завданнями радника є:</w:t>
      </w:r>
    </w:p>
    <w:p w:rsidR="00EE1686" w:rsidRPr="0033253E" w:rsidRDefault="00EE1686" w:rsidP="00EE1686">
      <w:pPr>
        <w:ind w:firstLine="567"/>
        <w:jc w:val="both"/>
        <w:rPr>
          <w:sz w:val="24"/>
          <w:szCs w:val="24"/>
          <w:lang w:eastAsia="ar-SA"/>
        </w:rPr>
      </w:pPr>
      <w:r w:rsidRPr="0033253E">
        <w:rPr>
          <w:sz w:val="24"/>
          <w:szCs w:val="24"/>
          <w:lang w:eastAsia="ar-SA"/>
        </w:rPr>
        <w:t>консультування і внесення голові райдержадміністрації та уповноваженій особі (координатору) пропозицій щодо реалізації державної політики з питань забезпечення рівних прав та можливостей жінок і чоловіків, протидії насильству та дискримінації за ознакою статі, у тому числі стосовно виконання міжнародних зобов’язань України відповідно до </w:t>
      </w:r>
      <w:hyperlink r:id="rId5" w:tgtFrame="_blank" w:history="1">
        <w:r w:rsidRPr="0079052D">
          <w:rPr>
            <w:sz w:val="24"/>
            <w:szCs w:val="24"/>
            <w:lang w:eastAsia="ar-SA"/>
          </w:rPr>
          <w:t>Конвенції ООН про ліквідацію усіх форм дискримінації щодо жінок</w:t>
        </w:r>
      </w:hyperlink>
      <w:r w:rsidRPr="0079052D">
        <w:rPr>
          <w:sz w:val="24"/>
          <w:szCs w:val="24"/>
          <w:lang w:eastAsia="ar-SA"/>
        </w:rPr>
        <w:t> та </w:t>
      </w:r>
      <w:hyperlink r:id="rId6" w:tgtFrame="_blank" w:history="1">
        <w:r w:rsidRPr="0079052D">
          <w:rPr>
            <w:sz w:val="24"/>
            <w:szCs w:val="24"/>
            <w:lang w:eastAsia="ar-SA"/>
          </w:rPr>
          <w:t>Факультативного протоколу</w:t>
        </w:r>
      </w:hyperlink>
      <w:r w:rsidRPr="0079052D">
        <w:rPr>
          <w:sz w:val="24"/>
          <w:szCs w:val="24"/>
          <w:lang w:eastAsia="ar-SA"/>
        </w:rPr>
        <w:t> до неї, </w:t>
      </w:r>
      <w:hyperlink r:id="rId7" w:tgtFrame="_blank" w:history="1">
        <w:r w:rsidRPr="0079052D">
          <w:rPr>
            <w:sz w:val="24"/>
            <w:szCs w:val="24"/>
            <w:lang w:eastAsia="ar-SA"/>
          </w:rPr>
          <w:t>Пекінської декларації</w:t>
        </w:r>
      </w:hyperlink>
      <w:r w:rsidRPr="0033253E">
        <w:rPr>
          <w:sz w:val="24"/>
          <w:szCs w:val="24"/>
          <w:lang w:eastAsia="ar-SA"/>
        </w:rPr>
        <w:t> та Платформи дій, прийнятих на четвертій Всесвітній конференції зі становища жінок 15 вересня 1995 р., резолюції Ради Безпеки ООН 1325 “Жінки, мир, безпека” та пов’язаних із нею резолюцій Ради Безпеки ООН, Стратегії гендерної рівності Ради Європи, інших документів з питань гендерної рівності, прийнятих на рівні ООН, Ради Європи, ОБСЄ, ЄС, НАТО.</w:t>
      </w:r>
    </w:p>
    <w:p w:rsidR="00EE1686" w:rsidRPr="0079052D" w:rsidRDefault="00EE1686" w:rsidP="00EE1686">
      <w:pPr>
        <w:ind w:firstLine="567"/>
        <w:jc w:val="both"/>
        <w:rPr>
          <w:b/>
          <w:bCs/>
          <w:sz w:val="24"/>
          <w:szCs w:val="24"/>
          <w:lang w:eastAsia="ar-SA"/>
        </w:rPr>
      </w:pPr>
      <w:r w:rsidRPr="0079052D">
        <w:rPr>
          <w:b/>
          <w:bCs/>
          <w:sz w:val="24"/>
          <w:szCs w:val="24"/>
          <w:lang w:eastAsia="ar-SA"/>
        </w:rPr>
        <w:t>Радник відповідно до визначених для нього завдань:</w:t>
      </w:r>
    </w:p>
    <w:p w:rsidR="00EE1686" w:rsidRPr="0033253E" w:rsidRDefault="00EE1686" w:rsidP="00EE1686">
      <w:pPr>
        <w:ind w:firstLine="567"/>
        <w:jc w:val="both"/>
        <w:rPr>
          <w:sz w:val="24"/>
          <w:szCs w:val="24"/>
          <w:lang w:eastAsia="ar-SA"/>
        </w:rPr>
      </w:pPr>
      <w:bookmarkStart w:id="0" w:name="n46"/>
      <w:bookmarkEnd w:id="0"/>
      <w:r w:rsidRPr="0033253E">
        <w:rPr>
          <w:b/>
          <w:bCs/>
          <w:sz w:val="24"/>
          <w:szCs w:val="24"/>
          <w:lang w:eastAsia="ar-SA"/>
        </w:rPr>
        <w:t>бере участь у проведенні моніторингу</w:t>
      </w:r>
      <w:r w:rsidRPr="0033253E">
        <w:rPr>
          <w:sz w:val="24"/>
          <w:szCs w:val="24"/>
          <w:lang w:eastAsia="ar-SA"/>
        </w:rPr>
        <w:t>:</w:t>
      </w:r>
    </w:p>
    <w:p w:rsidR="00EE1686" w:rsidRPr="0033253E" w:rsidRDefault="00EE1686" w:rsidP="00EE1686">
      <w:pPr>
        <w:ind w:firstLine="567"/>
        <w:jc w:val="both"/>
        <w:rPr>
          <w:sz w:val="24"/>
          <w:szCs w:val="24"/>
          <w:lang w:eastAsia="ar-SA"/>
        </w:rPr>
      </w:pPr>
      <w:bookmarkStart w:id="1" w:name="n47"/>
      <w:bookmarkEnd w:id="1"/>
      <w:r w:rsidRPr="0033253E">
        <w:rPr>
          <w:sz w:val="24"/>
          <w:szCs w:val="24"/>
          <w:lang w:eastAsia="ar-SA"/>
        </w:rPr>
        <w:t>виконання Законів України </w:t>
      </w:r>
      <w:hyperlink r:id="rId8" w:tgtFrame="_blank" w:history="1">
        <w:r w:rsidRPr="0033253E">
          <w:rPr>
            <w:sz w:val="24"/>
            <w:szCs w:val="24"/>
            <w:lang w:eastAsia="ar-SA"/>
          </w:rPr>
          <w:t>“Про забезпечення рівних прав та можливостей жінок і чоловіків”</w:t>
        </w:r>
      </w:hyperlink>
      <w:r w:rsidRPr="0033253E">
        <w:rPr>
          <w:sz w:val="24"/>
          <w:szCs w:val="24"/>
          <w:lang w:eastAsia="ar-SA"/>
        </w:rPr>
        <w:t>, </w:t>
      </w:r>
      <w:hyperlink r:id="rId9" w:tgtFrame="_blank" w:history="1">
        <w:r w:rsidRPr="0033253E">
          <w:rPr>
            <w:sz w:val="24"/>
            <w:szCs w:val="24"/>
            <w:lang w:eastAsia="ar-SA"/>
          </w:rPr>
          <w:t>“Про запобігання та протидію домашньому насильству”</w:t>
        </w:r>
      </w:hyperlink>
      <w:r w:rsidRPr="0033253E">
        <w:rPr>
          <w:sz w:val="24"/>
          <w:szCs w:val="24"/>
          <w:lang w:eastAsia="ar-SA"/>
        </w:rPr>
        <w:t>, </w:t>
      </w:r>
      <w:hyperlink r:id="rId10" w:tgtFrame="_blank" w:history="1">
        <w:r w:rsidRPr="0033253E">
          <w:rPr>
            <w:sz w:val="24"/>
            <w:szCs w:val="24"/>
            <w:lang w:eastAsia="ar-SA"/>
          </w:rPr>
          <w:t>“Про засади запобігання та протидії дискримінації в Україні”</w:t>
        </w:r>
      </w:hyperlink>
      <w:r w:rsidRPr="0033253E">
        <w:rPr>
          <w:sz w:val="24"/>
          <w:szCs w:val="24"/>
          <w:lang w:eastAsia="ar-SA"/>
        </w:rPr>
        <w:t> у частині протидії дискримінації за ознакою статі або за кількома ознаками, однією з яких є стать;</w:t>
      </w:r>
    </w:p>
    <w:p w:rsidR="00EE1686" w:rsidRPr="0033253E" w:rsidRDefault="00EE1686" w:rsidP="00EE1686">
      <w:pPr>
        <w:ind w:firstLine="567"/>
        <w:jc w:val="both"/>
        <w:rPr>
          <w:sz w:val="24"/>
          <w:szCs w:val="24"/>
          <w:lang w:eastAsia="ar-SA"/>
        </w:rPr>
      </w:pPr>
      <w:bookmarkStart w:id="2" w:name="n48"/>
      <w:bookmarkEnd w:id="2"/>
      <w:r w:rsidRPr="0033253E">
        <w:rPr>
          <w:sz w:val="24"/>
          <w:szCs w:val="24"/>
          <w:lang w:eastAsia="ar-SA"/>
        </w:rPr>
        <w:t>дотримання міжнародних зобов’язань України у сфері забезпечення гендерної рівності, запобігання та протидії насильству за ознакою статі;</w:t>
      </w:r>
    </w:p>
    <w:p w:rsidR="00EE1686" w:rsidRPr="0033253E" w:rsidRDefault="00EE1686" w:rsidP="00EE1686">
      <w:pPr>
        <w:ind w:firstLine="567"/>
        <w:jc w:val="both"/>
        <w:rPr>
          <w:sz w:val="24"/>
          <w:szCs w:val="24"/>
          <w:lang w:eastAsia="ar-SA"/>
        </w:rPr>
      </w:pPr>
      <w:bookmarkStart w:id="3" w:name="n49"/>
      <w:bookmarkEnd w:id="3"/>
      <w:r w:rsidRPr="0033253E">
        <w:rPr>
          <w:sz w:val="24"/>
          <w:szCs w:val="24"/>
          <w:lang w:eastAsia="ar-SA"/>
        </w:rPr>
        <w:t>врахування принципу забезпечення рівних прав та можливостей жінок і чоловіків під час розроблення нормативно-правових актів.</w:t>
      </w:r>
    </w:p>
    <w:p w:rsidR="00EE1686" w:rsidRPr="0033253E" w:rsidRDefault="00EE1686" w:rsidP="0079052D">
      <w:pPr>
        <w:ind w:firstLine="567"/>
        <w:jc w:val="both"/>
        <w:rPr>
          <w:sz w:val="24"/>
          <w:szCs w:val="24"/>
          <w:lang w:eastAsia="ar-SA"/>
        </w:rPr>
      </w:pPr>
      <w:bookmarkStart w:id="4" w:name="n50"/>
      <w:bookmarkEnd w:id="4"/>
      <w:r w:rsidRPr="0033253E">
        <w:rPr>
          <w:sz w:val="24"/>
          <w:szCs w:val="24"/>
          <w:lang w:eastAsia="ar-SA"/>
        </w:rPr>
        <w:t xml:space="preserve">За результатами моніторингу вносить </w:t>
      </w:r>
      <w:r w:rsidR="0079052D">
        <w:rPr>
          <w:sz w:val="24"/>
          <w:szCs w:val="24"/>
          <w:lang w:eastAsia="ar-SA"/>
        </w:rPr>
        <w:t>голові райдержадміністрації/</w:t>
      </w:r>
      <w:r w:rsidRPr="0033253E">
        <w:rPr>
          <w:sz w:val="24"/>
          <w:szCs w:val="24"/>
          <w:lang w:eastAsia="ar-SA"/>
        </w:rPr>
        <w:t>уповноваженій особі (координатору) пропозиції щодо забезпечення рівних прав та можливостей жінок і чоловіків;</w:t>
      </w:r>
    </w:p>
    <w:p w:rsidR="00EE1686" w:rsidRPr="0033253E" w:rsidRDefault="00EE1686" w:rsidP="00EE1686">
      <w:pPr>
        <w:ind w:firstLine="567"/>
        <w:jc w:val="both"/>
        <w:rPr>
          <w:b/>
          <w:bCs/>
          <w:sz w:val="24"/>
          <w:szCs w:val="24"/>
          <w:lang w:eastAsia="ar-SA"/>
        </w:rPr>
      </w:pPr>
      <w:bookmarkStart w:id="5" w:name="n51"/>
      <w:bookmarkEnd w:id="5"/>
      <w:r w:rsidRPr="0033253E">
        <w:rPr>
          <w:b/>
          <w:bCs/>
          <w:sz w:val="24"/>
          <w:szCs w:val="24"/>
          <w:lang w:eastAsia="ar-SA"/>
        </w:rPr>
        <w:t>бере участь у:</w:t>
      </w:r>
    </w:p>
    <w:p w:rsidR="00EE1686" w:rsidRPr="0033253E" w:rsidRDefault="00EE1686" w:rsidP="00EE1686">
      <w:pPr>
        <w:ind w:firstLine="567"/>
        <w:jc w:val="both"/>
        <w:rPr>
          <w:sz w:val="24"/>
          <w:szCs w:val="24"/>
          <w:lang w:eastAsia="ar-SA"/>
        </w:rPr>
      </w:pPr>
      <w:bookmarkStart w:id="6" w:name="n52"/>
      <w:bookmarkEnd w:id="6"/>
      <w:r w:rsidRPr="0033253E">
        <w:rPr>
          <w:sz w:val="24"/>
          <w:szCs w:val="24"/>
          <w:lang w:eastAsia="ar-SA"/>
        </w:rPr>
        <w:t>проведенні аналізу стану забезпечення рівних прав та можливостей жінок і чоловіків у відповідній сфері (на відповідній території);</w:t>
      </w:r>
    </w:p>
    <w:p w:rsidR="00EE1686" w:rsidRPr="0033253E" w:rsidRDefault="00EE1686" w:rsidP="00EE1686">
      <w:pPr>
        <w:ind w:firstLine="567"/>
        <w:jc w:val="both"/>
        <w:rPr>
          <w:sz w:val="24"/>
          <w:szCs w:val="24"/>
          <w:lang w:eastAsia="ar-SA"/>
        </w:rPr>
      </w:pPr>
      <w:bookmarkStart w:id="7" w:name="n53"/>
      <w:bookmarkEnd w:id="7"/>
      <w:r w:rsidRPr="0033253E">
        <w:rPr>
          <w:sz w:val="24"/>
          <w:szCs w:val="24"/>
          <w:lang w:eastAsia="ar-SA"/>
        </w:rPr>
        <w:t xml:space="preserve">проведенні гендерних аудитів, розробленні заходів, планів за результатами їх проведення, подає пропозиції щодо включення положень, спрямованих на забезпечення рівних прав та можливостей жінок і чоловіків, до колективних договорів, угод відповідно </w:t>
      </w:r>
      <w:r w:rsidRPr="0033253E">
        <w:rPr>
          <w:sz w:val="24"/>
          <w:szCs w:val="24"/>
          <w:lang w:eastAsia="ar-SA"/>
        </w:rPr>
        <w:lastRenderedPageBreak/>
        <w:t>до </w:t>
      </w:r>
      <w:hyperlink r:id="rId11" w:anchor="n260" w:tgtFrame="_blank" w:history="1">
        <w:r w:rsidRPr="0033253E">
          <w:rPr>
            <w:rStyle w:val="a4"/>
            <w:sz w:val="24"/>
            <w:szCs w:val="24"/>
            <w:lang w:eastAsia="ar-SA"/>
          </w:rPr>
          <w:t>статті 18</w:t>
        </w:r>
      </w:hyperlink>
      <w:r w:rsidRPr="0033253E">
        <w:rPr>
          <w:sz w:val="24"/>
          <w:szCs w:val="24"/>
          <w:lang w:eastAsia="ar-SA"/>
        </w:rPr>
        <w:t> Закону України “Про забезпечення рівних прав та можливостей жінок і чоловіків”;</w:t>
      </w:r>
    </w:p>
    <w:p w:rsidR="00EE1686" w:rsidRPr="0033253E" w:rsidRDefault="00EE1686" w:rsidP="00EE1686">
      <w:pPr>
        <w:ind w:firstLine="567"/>
        <w:jc w:val="both"/>
        <w:rPr>
          <w:sz w:val="24"/>
          <w:szCs w:val="24"/>
          <w:lang w:eastAsia="ar-SA"/>
        </w:rPr>
      </w:pPr>
      <w:bookmarkStart w:id="8" w:name="n54"/>
      <w:bookmarkEnd w:id="8"/>
      <w:r w:rsidRPr="0033253E">
        <w:rPr>
          <w:sz w:val="24"/>
          <w:szCs w:val="24"/>
          <w:lang w:eastAsia="ar-SA"/>
        </w:rPr>
        <w:t>підготовці тематичних та аналітичних доповідей, доповідних записок, рекомендацій з питань забезпечення рівних прав та можливостей жінок і чоловіків, запобігання та протидії насильству за ознакою статі, зокрема, з виконання міжнародних документів;</w:t>
      </w:r>
    </w:p>
    <w:p w:rsidR="00EE1686" w:rsidRPr="0033253E" w:rsidRDefault="00EE1686" w:rsidP="00EE1686">
      <w:pPr>
        <w:ind w:firstLine="567"/>
        <w:jc w:val="both"/>
        <w:rPr>
          <w:sz w:val="24"/>
          <w:szCs w:val="24"/>
          <w:lang w:eastAsia="ar-SA"/>
        </w:rPr>
      </w:pPr>
      <w:bookmarkStart w:id="9" w:name="n55"/>
      <w:bookmarkEnd w:id="9"/>
      <w:r w:rsidRPr="0033253E">
        <w:rPr>
          <w:sz w:val="24"/>
          <w:szCs w:val="24"/>
          <w:lang w:eastAsia="ar-SA"/>
        </w:rPr>
        <w:t>проведенні для працівників органу навчальних заходів (семінарів, тренінгів тощо) з питань забезпечення рівних прав та можливостей жінок і чоловіків, запобігання та протидії насильству за ознакою статі;</w:t>
      </w:r>
    </w:p>
    <w:p w:rsidR="00EE1686" w:rsidRPr="0033253E" w:rsidRDefault="00EE1686" w:rsidP="00EE1686">
      <w:pPr>
        <w:ind w:firstLine="567"/>
        <w:jc w:val="both"/>
        <w:rPr>
          <w:sz w:val="24"/>
          <w:szCs w:val="24"/>
          <w:lang w:eastAsia="ar-SA"/>
        </w:rPr>
      </w:pPr>
      <w:bookmarkStart w:id="10" w:name="n56"/>
      <w:bookmarkEnd w:id="10"/>
      <w:r w:rsidRPr="0033253E">
        <w:rPr>
          <w:sz w:val="24"/>
          <w:szCs w:val="24"/>
          <w:lang w:eastAsia="ar-SA"/>
        </w:rPr>
        <w:t>інформаційно-пропагандистській діяльності щодо ліквідації всіх форм дискримінації за ознакою статі та організації заходів, спрямованих на формування гендерної культури, запобігання та протидію насильству за ознакою статі;</w:t>
      </w:r>
    </w:p>
    <w:p w:rsidR="00EE1686" w:rsidRPr="0033253E" w:rsidRDefault="00EE1686" w:rsidP="00EE1686">
      <w:pPr>
        <w:ind w:firstLine="567"/>
        <w:jc w:val="both"/>
        <w:rPr>
          <w:sz w:val="24"/>
          <w:szCs w:val="24"/>
          <w:lang w:eastAsia="ar-SA"/>
        </w:rPr>
      </w:pPr>
      <w:bookmarkStart w:id="11" w:name="n57"/>
      <w:bookmarkEnd w:id="11"/>
      <w:r w:rsidRPr="0033253E">
        <w:rPr>
          <w:sz w:val="24"/>
          <w:szCs w:val="24"/>
          <w:lang w:eastAsia="ar-SA"/>
        </w:rPr>
        <w:t>роботі утворених в органі влади консультативно-дорадчих органів, міжвідомчих робочих груп з питань забезпечення рівних прав та можливостей жінок і чоловіків, запобігання та протидії насильству за ознакою статі;</w:t>
      </w:r>
    </w:p>
    <w:p w:rsidR="00EE1686" w:rsidRPr="0033253E" w:rsidRDefault="00EE1686" w:rsidP="00EE1686">
      <w:pPr>
        <w:ind w:firstLine="567"/>
        <w:jc w:val="both"/>
        <w:rPr>
          <w:b/>
          <w:bCs/>
          <w:sz w:val="24"/>
          <w:szCs w:val="24"/>
          <w:lang w:eastAsia="ar-SA"/>
        </w:rPr>
      </w:pPr>
      <w:bookmarkStart w:id="12" w:name="n58"/>
      <w:bookmarkEnd w:id="12"/>
      <w:r w:rsidRPr="0033253E">
        <w:rPr>
          <w:b/>
          <w:bCs/>
          <w:sz w:val="24"/>
          <w:szCs w:val="24"/>
          <w:lang w:eastAsia="ar-SA"/>
        </w:rPr>
        <w:t>консультує стосовно:</w:t>
      </w:r>
    </w:p>
    <w:p w:rsidR="00EE1686" w:rsidRPr="0033253E" w:rsidRDefault="00EE1686" w:rsidP="00EE1686">
      <w:pPr>
        <w:ind w:firstLine="567"/>
        <w:jc w:val="both"/>
        <w:rPr>
          <w:sz w:val="24"/>
          <w:szCs w:val="24"/>
          <w:lang w:eastAsia="ar-SA"/>
        </w:rPr>
      </w:pPr>
      <w:bookmarkStart w:id="13" w:name="n59"/>
      <w:bookmarkEnd w:id="13"/>
      <w:r w:rsidRPr="0033253E">
        <w:rPr>
          <w:sz w:val="24"/>
          <w:szCs w:val="24"/>
          <w:lang w:eastAsia="ar-SA"/>
        </w:rPr>
        <w:t>врахування принципу забезпечення рівних прав та можливостей жінок і чоловіків під час розроблення нормативно-правових актів, у тому числі стратегій розвитку, державних/регіональних програм і планів, з урахуванням результатів гендерного аналізу, визначення індикаторів для їх оцінювання (відповідно до компетенції органу влади);</w:t>
      </w:r>
    </w:p>
    <w:p w:rsidR="00EE1686" w:rsidRPr="0033253E" w:rsidRDefault="00EE1686" w:rsidP="00EE1686">
      <w:pPr>
        <w:ind w:firstLine="567"/>
        <w:jc w:val="both"/>
        <w:rPr>
          <w:sz w:val="24"/>
          <w:szCs w:val="24"/>
          <w:lang w:eastAsia="ar-SA"/>
        </w:rPr>
      </w:pPr>
      <w:bookmarkStart w:id="14" w:name="n60"/>
      <w:bookmarkEnd w:id="14"/>
      <w:r w:rsidRPr="0033253E">
        <w:rPr>
          <w:sz w:val="24"/>
          <w:szCs w:val="24"/>
          <w:lang w:eastAsia="ar-SA"/>
        </w:rPr>
        <w:t>застосування позитивних дій з подолання гендерної асиметрії та дисбалансу, що складаються на відповідній території чи в галузі, та їх припинення;</w:t>
      </w:r>
    </w:p>
    <w:p w:rsidR="00EE1686" w:rsidRPr="0033253E" w:rsidRDefault="00EE1686" w:rsidP="00EE1686">
      <w:pPr>
        <w:ind w:firstLine="567"/>
        <w:jc w:val="both"/>
        <w:rPr>
          <w:sz w:val="24"/>
          <w:szCs w:val="24"/>
          <w:lang w:eastAsia="ar-SA"/>
        </w:rPr>
      </w:pPr>
      <w:bookmarkStart w:id="15" w:name="n61"/>
      <w:bookmarkEnd w:id="15"/>
      <w:r w:rsidRPr="0033253E">
        <w:rPr>
          <w:sz w:val="24"/>
          <w:szCs w:val="24"/>
          <w:lang w:eastAsia="ar-SA"/>
        </w:rPr>
        <w:t>шляхів запобігання та протидії дискримінації та насильству за ознакою статі;</w:t>
      </w:r>
    </w:p>
    <w:p w:rsidR="00EE1686" w:rsidRPr="0033253E" w:rsidRDefault="00EE1686" w:rsidP="00EE1686">
      <w:pPr>
        <w:ind w:firstLine="567"/>
        <w:jc w:val="both"/>
        <w:rPr>
          <w:sz w:val="24"/>
          <w:szCs w:val="24"/>
          <w:lang w:eastAsia="ar-SA"/>
        </w:rPr>
      </w:pPr>
      <w:bookmarkStart w:id="16" w:name="n62"/>
      <w:bookmarkEnd w:id="16"/>
      <w:r w:rsidRPr="0033253E">
        <w:rPr>
          <w:sz w:val="24"/>
          <w:szCs w:val="24"/>
          <w:lang w:eastAsia="ar-SA"/>
        </w:rPr>
        <w:t>дотримання принципу забезпечення рівних прав та можливостей жінок і чоловіків у публікаціях, які розміщуються на офіційному веб-сайті органу влади;</w:t>
      </w:r>
    </w:p>
    <w:p w:rsidR="00EE1686" w:rsidRPr="0033253E" w:rsidRDefault="00EE1686" w:rsidP="00EE1686">
      <w:pPr>
        <w:ind w:firstLine="567"/>
        <w:jc w:val="both"/>
        <w:rPr>
          <w:b/>
          <w:bCs/>
          <w:sz w:val="24"/>
          <w:szCs w:val="24"/>
          <w:lang w:eastAsia="ar-SA"/>
        </w:rPr>
      </w:pPr>
      <w:bookmarkStart w:id="17" w:name="n63"/>
      <w:bookmarkEnd w:id="17"/>
      <w:r w:rsidRPr="0033253E">
        <w:rPr>
          <w:b/>
          <w:bCs/>
          <w:sz w:val="24"/>
          <w:szCs w:val="24"/>
          <w:lang w:eastAsia="ar-SA"/>
        </w:rPr>
        <w:t>вносить пропозиції щодо:</w:t>
      </w:r>
    </w:p>
    <w:p w:rsidR="00EE1686" w:rsidRPr="0033253E" w:rsidRDefault="00EE1686" w:rsidP="00EE1686">
      <w:pPr>
        <w:ind w:firstLine="567"/>
        <w:jc w:val="both"/>
        <w:rPr>
          <w:sz w:val="24"/>
          <w:szCs w:val="24"/>
          <w:lang w:eastAsia="ar-SA"/>
        </w:rPr>
      </w:pPr>
      <w:bookmarkStart w:id="18" w:name="n64"/>
      <w:bookmarkEnd w:id="18"/>
      <w:r w:rsidRPr="0033253E">
        <w:rPr>
          <w:sz w:val="24"/>
          <w:szCs w:val="24"/>
          <w:lang w:eastAsia="ar-SA"/>
        </w:rPr>
        <w:t>удосконалення статистичної та адміністративної звітності з урахуванням гендерної складової;</w:t>
      </w:r>
    </w:p>
    <w:p w:rsidR="00EE1686" w:rsidRPr="0033253E" w:rsidRDefault="00EE1686" w:rsidP="00EE1686">
      <w:pPr>
        <w:ind w:firstLine="567"/>
        <w:jc w:val="both"/>
        <w:rPr>
          <w:sz w:val="24"/>
          <w:szCs w:val="24"/>
          <w:lang w:eastAsia="ar-SA"/>
        </w:rPr>
      </w:pPr>
      <w:bookmarkStart w:id="19" w:name="n65"/>
      <w:bookmarkEnd w:id="19"/>
      <w:r w:rsidRPr="0033253E">
        <w:rPr>
          <w:sz w:val="24"/>
          <w:szCs w:val="24"/>
          <w:lang w:eastAsia="ar-SA"/>
        </w:rPr>
        <w:t>здійснення видатків із застосуванням результатів гендерного аналізу та гендерно орієнтованого підходу в бюджетному процесі.</w:t>
      </w:r>
    </w:p>
    <w:p w:rsidR="008C3BCF" w:rsidRDefault="005D3B99" w:rsidP="008431A3">
      <w:pPr>
        <w:rPr>
          <w:sz w:val="26"/>
          <w:szCs w:val="26"/>
        </w:rPr>
      </w:pPr>
      <w:bookmarkStart w:id="20" w:name="n66"/>
      <w:bookmarkStart w:id="21" w:name="n70"/>
      <w:bookmarkStart w:id="22" w:name="n73"/>
      <w:bookmarkStart w:id="23" w:name="n74"/>
      <w:bookmarkEnd w:id="20"/>
      <w:bookmarkEnd w:id="21"/>
      <w:bookmarkEnd w:id="22"/>
      <w:bookmarkEnd w:id="23"/>
      <w:r>
        <w:rPr>
          <w:sz w:val="24"/>
          <w:szCs w:val="24"/>
          <w:lang w:eastAsia="ar-SA"/>
        </w:rPr>
        <w:tab/>
      </w:r>
      <w:bookmarkStart w:id="24" w:name="_GoBack"/>
      <w:bookmarkEnd w:id="24"/>
      <w:r w:rsidR="008C3BCF">
        <w:rPr>
          <w:sz w:val="26"/>
          <w:szCs w:val="26"/>
        </w:rPr>
        <w:t xml:space="preserve"> </w:t>
      </w:r>
    </w:p>
    <w:p w:rsidR="008C3BCF" w:rsidRPr="003C7E4A" w:rsidRDefault="008C3BCF" w:rsidP="003C7E4A">
      <w:pPr>
        <w:ind w:firstLine="567"/>
        <w:jc w:val="both"/>
        <w:rPr>
          <w:sz w:val="26"/>
          <w:szCs w:val="26"/>
        </w:rPr>
      </w:pPr>
    </w:p>
    <w:sectPr w:rsidR="008C3BCF" w:rsidRPr="003C7E4A" w:rsidSect="003C7E4A">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2738A"/>
    <w:multiLevelType w:val="hybridMultilevel"/>
    <w:tmpl w:val="5414FDDC"/>
    <w:lvl w:ilvl="0" w:tplc="8068A8C6">
      <w:start w:val="1"/>
      <w:numFmt w:val="decimal"/>
      <w:lvlText w:val="%1."/>
      <w:lvlJc w:val="left"/>
      <w:pPr>
        <w:ind w:left="920" w:hanging="360"/>
      </w:pPr>
      <w:rPr>
        <w:rFonts w:hint="default"/>
      </w:r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1" w15:restartNumberingAfterBreak="0">
    <w:nsid w:val="43B66691"/>
    <w:multiLevelType w:val="hybridMultilevel"/>
    <w:tmpl w:val="865A9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102"/>
    <w:rsid w:val="002D223A"/>
    <w:rsid w:val="002F5102"/>
    <w:rsid w:val="0033253E"/>
    <w:rsid w:val="003C7E4A"/>
    <w:rsid w:val="00442B15"/>
    <w:rsid w:val="005B33AC"/>
    <w:rsid w:val="005D3B99"/>
    <w:rsid w:val="006D30A9"/>
    <w:rsid w:val="007734DF"/>
    <w:rsid w:val="0079052D"/>
    <w:rsid w:val="008431A3"/>
    <w:rsid w:val="008A51BF"/>
    <w:rsid w:val="008C3BCF"/>
    <w:rsid w:val="00CC0F0E"/>
    <w:rsid w:val="00EE168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981F4"/>
  <w15:chartTrackingRefBased/>
  <w15:docId w15:val="{D17A4800-14E8-4AF8-ABEE-68673111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1686"/>
    <w:pPr>
      <w:spacing w:after="0" w:line="240" w:lineRule="auto"/>
    </w:pPr>
    <w:rPr>
      <w:rFonts w:ascii="Times New Roman" w:eastAsia="Times New Roman" w:hAnsi="Times New Roman" w:cs="Times New Roman"/>
      <w:sz w:val="2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1686"/>
    <w:pPr>
      <w:ind w:left="720"/>
      <w:contextualSpacing/>
    </w:pPr>
    <w:rPr>
      <w:sz w:val="24"/>
      <w:szCs w:val="24"/>
    </w:rPr>
  </w:style>
  <w:style w:type="character" w:styleId="a4">
    <w:name w:val="Hyperlink"/>
    <w:basedOn w:val="a0"/>
    <w:rsid w:val="00EE1686"/>
    <w:rPr>
      <w:color w:val="0563C1" w:themeColor="hyperlink"/>
      <w:u w:val="single"/>
    </w:rPr>
  </w:style>
  <w:style w:type="character" w:styleId="a5">
    <w:name w:val="Emphasis"/>
    <w:basedOn w:val="a0"/>
    <w:qFormat/>
    <w:rsid w:val="00EE16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866-1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akon.rada.gov.ua/laws/show/995_50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995_794" TargetMode="External"/><Relationship Id="rId11" Type="http://schemas.openxmlformats.org/officeDocument/2006/relationships/hyperlink" Target="https://zakon.rada.gov.ua/laws/show/2866-15" TargetMode="External"/><Relationship Id="rId5" Type="http://schemas.openxmlformats.org/officeDocument/2006/relationships/hyperlink" Target="https://zakon.rada.gov.ua/laws/show/995_207" TargetMode="External"/><Relationship Id="rId10" Type="http://schemas.openxmlformats.org/officeDocument/2006/relationships/hyperlink" Target="https://zakon.rada.gov.ua/laws/show/5207-17" TargetMode="External"/><Relationship Id="rId4" Type="http://schemas.openxmlformats.org/officeDocument/2006/relationships/webSettings" Target="webSettings.xml"/><Relationship Id="rId9" Type="http://schemas.openxmlformats.org/officeDocument/2006/relationships/hyperlink" Target="https://zakon.rada.gov.ua/laws/show/2229-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2</Pages>
  <Words>911</Words>
  <Characters>5198</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2022</dc:creator>
  <cp:keywords/>
  <dc:description/>
  <cp:lastModifiedBy>2022</cp:lastModifiedBy>
  <cp:revision>7</cp:revision>
  <dcterms:created xsi:type="dcterms:W3CDTF">2023-12-18T09:37:00Z</dcterms:created>
  <dcterms:modified xsi:type="dcterms:W3CDTF">2024-07-09T06:47:00Z</dcterms:modified>
</cp:coreProperties>
</file>