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545664" w:rsidRPr="004E6925" w:rsidRDefault="004E6925" w:rsidP="004E6925">
      <w:pPr>
        <w:jc w:val="center"/>
        <w:rPr>
          <w:rFonts w:ascii="Times New Roman" w:hAnsi="Times New Roman" w:cs="Times New Roman"/>
          <w:b/>
        </w:rPr>
      </w:pPr>
      <w:r w:rsidRPr="004E6925">
        <w:rPr>
          <w:rFonts w:ascii="Times New Roman" w:hAnsi="Times New Roman" w:cs="Times New Roman"/>
          <w:b/>
        </w:rPr>
        <w:fldChar w:fldCharType="begin"/>
      </w:r>
      <w:r w:rsidRPr="004E6925">
        <w:rPr>
          <w:rFonts w:ascii="Times New Roman" w:hAnsi="Times New Roman" w:cs="Times New Roman"/>
          <w:b/>
        </w:rPr>
        <w:instrText xml:space="preserve"> HYPERLINK "https://www.msp.gov.ua/news/19092.html" </w:instrText>
      </w:r>
      <w:r w:rsidRPr="004E6925">
        <w:rPr>
          <w:rFonts w:ascii="Times New Roman" w:hAnsi="Times New Roman" w:cs="Times New Roman"/>
          <w:b/>
        </w:rPr>
        <w:fldChar w:fldCharType="separate"/>
      </w:r>
      <w:r w:rsidRPr="004E6925">
        <w:rPr>
          <w:rStyle w:val="a3"/>
          <w:rFonts w:ascii="Times New Roman" w:hAnsi="Times New Roman" w:cs="Times New Roman"/>
          <w:b/>
          <w:color w:val="auto"/>
          <w:sz w:val="27"/>
          <w:szCs w:val="27"/>
          <w:u w:val="none"/>
        </w:rPr>
        <w:t>Підписано Указ Президента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Pr="004E6925">
        <w:rPr>
          <w:rFonts w:ascii="Times New Roman" w:hAnsi="Times New Roman" w:cs="Times New Roman"/>
          <w:b/>
        </w:rPr>
        <w:fldChar w:fldCharType="end"/>
      </w:r>
    </w:p>
    <w:bookmarkEnd w:id="0"/>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 xml:space="preserve">21 вересня відбулася зустріч Президента України Володимира Зеленського, дружини Президента Олени </w:t>
      </w:r>
      <w:proofErr w:type="spellStart"/>
      <w:r w:rsidRPr="004E6925">
        <w:rPr>
          <w:rFonts w:ascii="Times New Roman" w:hAnsi="Times New Roman" w:cs="Times New Roman"/>
          <w:sz w:val="28"/>
          <w:szCs w:val="28"/>
        </w:rPr>
        <w:t>Зеленської</w:t>
      </w:r>
      <w:proofErr w:type="spellEnd"/>
      <w:r w:rsidRPr="004E6925">
        <w:rPr>
          <w:rFonts w:ascii="Times New Roman" w:hAnsi="Times New Roman" w:cs="Times New Roman"/>
          <w:sz w:val="28"/>
          <w:szCs w:val="28"/>
        </w:rPr>
        <w:t xml:space="preserve"> із представниками громадських та міжнародних організацій щодо реалізації державної політики із протидії та запобігання домашньому насильству.</w:t>
      </w:r>
      <w:r>
        <w:rPr>
          <w:rFonts w:ascii="Times New Roman" w:hAnsi="Times New Roman" w:cs="Times New Roman"/>
          <w:sz w:val="28"/>
          <w:szCs w:val="28"/>
        </w:rPr>
        <w:t xml:space="preserve"> </w:t>
      </w:r>
      <w:r w:rsidRPr="004E6925">
        <w:rPr>
          <w:rFonts w:ascii="Times New Roman" w:hAnsi="Times New Roman" w:cs="Times New Roman"/>
          <w:sz w:val="28"/>
          <w:szCs w:val="28"/>
        </w:rPr>
        <w:t xml:space="preserve">У події також взяли участь Прем’єр-міністр Денис </w:t>
      </w:r>
      <w:proofErr w:type="spellStart"/>
      <w:r w:rsidRPr="004E6925">
        <w:rPr>
          <w:rFonts w:ascii="Times New Roman" w:hAnsi="Times New Roman" w:cs="Times New Roman"/>
          <w:sz w:val="28"/>
          <w:szCs w:val="28"/>
        </w:rPr>
        <w:t>Шмигаль</w:t>
      </w:r>
      <w:proofErr w:type="spellEnd"/>
      <w:r w:rsidRPr="004E6925">
        <w:rPr>
          <w:rFonts w:ascii="Times New Roman" w:hAnsi="Times New Roman" w:cs="Times New Roman"/>
          <w:sz w:val="28"/>
          <w:szCs w:val="28"/>
        </w:rPr>
        <w:t xml:space="preserve">, голова Офісу Президента України Андрій Єрмак, Міністр соціальної політики України Марина </w:t>
      </w:r>
      <w:proofErr w:type="spellStart"/>
      <w:r w:rsidRPr="004E6925">
        <w:rPr>
          <w:rFonts w:ascii="Times New Roman" w:hAnsi="Times New Roman" w:cs="Times New Roman"/>
          <w:sz w:val="28"/>
          <w:szCs w:val="28"/>
        </w:rPr>
        <w:t>Лазебна</w:t>
      </w:r>
      <w:proofErr w:type="spellEnd"/>
      <w:r w:rsidRPr="004E6925">
        <w:rPr>
          <w:rFonts w:ascii="Times New Roman" w:hAnsi="Times New Roman" w:cs="Times New Roman"/>
          <w:sz w:val="28"/>
          <w:szCs w:val="28"/>
        </w:rPr>
        <w:t xml:space="preserve"> та інші поважні особи.</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Під час виступу Глава держави підписав Указ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Президент України Володимир Зеленський підкреслив, що протидія насильству є частиною внутрішньої та зовнішньої політики держави, для якої права людини — це одна з найвищих цінностей.</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Глава держави акцентував увагу на важливості підвищення рівня довіри людей до служб, покликаних допомагати в таких випадках. «Людина має бути впевненою, що їй справді допоможуть», – наголосив Володимир Зеленський.</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 Указ набуває чинності з дня його опублікування.</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sz w:val="28"/>
          <w:szCs w:val="28"/>
        </w:rPr>
        <w:t> </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Довідково:</w:t>
      </w:r>
    </w:p>
    <w:p w:rsidR="004E6925" w:rsidRPr="004E6925" w:rsidRDefault="004E6925" w:rsidP="004E6925">
      <w:pPr>
        <w:spacing w:after="0"/>
        <w:ind w:firstLine="567"/>
        <w:jc w:val="both"/>
        <w:rPr>
          <w:rFonts w:ascii="Times New Roman" w:hAnsi="Times New Roman" w:cs="Times New Roman"/>
          <w:sz w:val="28"/>
          <w:szCs w:val="28"/>
        </w:rPr>
      </w:pPr>
      <w:proofErr w:type="spellStart"/>
      <w:r w:rsidRPr="004E6925">
        <w:rPr>
          <w:rFonts w:ascii="Times New Roman" w:hAnsi="Times New Roman" w:cs="Times New Roman"/>
          <w:i/>
          <w:iCs/>
          <w:sz w:val="28"/>
          <w:szCs w:val="28"/>
        </w:rPr>
        <w:t>Мінсоцполітики</w:t>
      </w:r>
      <w:proofErr w:type="spellEnd"/>
      <w:r w:rsidRPr="004E6925">
        <w:rPr>
          <w:rFonts w:ascii="Times New Roman" w:hAnsi="Times New Roman" w:cs="Times New Roman"/>
          <w:i/>
          <w:iCs/>
          <w:sz w:val="28"/>
          <w:szCs w:val="28"/>
        </w:rPr>
        <w:t xml:space="preserve"> спільно з іншими центральними органами виконавчої влади та експертами міжнародних організацій розроблено понад 20 підзаконних актів, що унормовують запобігання та протидію домашньому насильству, що дало змогу осучаснити систему міжвідомчої взаємодії.</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Завдяки удосконаленню національного механізму міжвідомчої взаємодії у сфері запобігання та протидії домашньому насильству, кількість звернень до державних органів з приводу вчинення домашнього насильства зросла. Це свідчить про позитивну тенденцію розуміння жінками факту порушення їхніх прав та зростання рівня довіри до органів державної влади.</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Протягом  І півріччя 2020 року структурними підрозділами обласних  та Київської міської державної адміністрації, до компетенції яких належать питання здійснення заходів  у сфері запобігання та протидії домашньому насильству зафіксовано </w:t>
      </w:r>
      <w:r w:rsidRPr="004E6925">
        <w:rPr>
          <w:rFonts w:ascii="Times New Roman" w:hAnsi="Times New Roman" w:cs="Times New Roman"/>
          <w:b/>
          <w:bCs/>
          <w:i/>
          <w:iCs/>
          <w:sz w:val="28"/>
          <w:szCs w:val="28"/>
        </w:rPr>
        <w:t>96 358</w:t>
      </w:r>
      <w:r w:rsidRPr="004E6925">
        <w:rPr>
          <w:rFonts w:ascii="Times New Roman" w:hAnsi="Times New Roman" w:cs="Times New Roman"/>
          <w:i/>
          <w:iCs/>
          <w:sz w:val="28"/>
          <w:szCs w:val="28"/>
        </w:rPr>
        <w:t> </w:t>
      </w:r>
      <w:r w:rsidRPr="004E6925">
        <w:rPr>
          <w:rFonts w:ascii="Times New Roman" w:hAnsi="Times New Roman" w:cs="Times New Roman"/>
          <w:b/>
          <w:bCs/>
          <w:i/>
          <w:iCs/>
          <w:sz w:val="28"/>
          <w:szCs w:val="28"/>
        </w:rPr>
        <w:t>звернень,</w:t>
      </w:r>
      <w:r w:rsidRPr="004E6925">
        <w:rPr>
          <w:rFonts w:ascii="Times New Roman" w:hAnsi="Times New Roman" w:cs="Times New Roman"/>
          <w:i/>
          <w:iCs/>
          <w:sz w:val="28"/>
          <w:szCs w:val="28"/>
        </w:rPr>
        <w:t> що на 52,2 % більше, у порівнянні з аналогічним періодом минулого року (</w:t>
      </w:r>
      <w:r w:rsidRPr="004E6925">
        <w:rPr>
          <w:rFonts w:ascii="Times New Roman" w:hAnsi="Times New Roman" w:cs="Times New Roman"/>
          <w:b/>
          <w:bCs/>
          <w:i/>
          <w:iCs/>
          <w:sz w:val="28"/>
          <w:szCs w:val="28"/>
        </w:rPr>
        <w:t>63 316</w:t>
      </w:r>
      <w:r w:rsidRPr="004E6925">
        <w:rPr>
          <w:rFonts w:ascii="Times New Roman" w:hAnsi="Times New Roman" w:cs="Times New Roman"/>
          <w:i/>
          <w:iCs/>
          <w:sz w:val="28"/>
          <w:szCs w:val="28"/>
        </w:rPr>
        <w:t> звернень).</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Зокрема, </w:t>
      </w:r>
      <w:r w:rsidRPr="004E6925">
        <w:rPr>
          <w:rFonts w:ascii="Times New Roman" w:hAnsi="Times New Roman" w:cs="Times New Roman"/>
          <w:b/>
          <w:bCs/>
          <w:i/>
          <w:iCs/>
          <w:sz w:val="28"/>
          <w:szCs w:val="28"/>
        </w:rPr>
        <w:t>від дітей</w:t>
      </w:r>
      <w:r w:rsidRPr="004E6925">
        <w:rPr>
          <w:rFonts w:ascii="Times New Roman" w:hAnsi="Times New Roman" w:cs="Times New Roman"/>
          <w:i/>
          <w:iCs/>
          <w:sz w:val="28"/>
          <w:szCs w:val="28"/>
        </w:rPr>
        <w:t> надійшло  </w:t>
      </w:r>
      <w:r w:rsidRPr="004E6925">
        <w:rPr>
          <w:rFonts w:ascii="Times New Roman" w:hAnsi="Times New Roman" w:cs="Times New Roman"/>
          <w:b/>
          <w:bCs/>
          <w:i/>
          <w:iCs/>
          <w:sz w:val="28"/>
          <w:szCs w:val="28"/>
        </w:rPr>
        <w:t>836</w:t>
      </w:r>
      <w:r w:rsidRPr="004E6925">
        <w:rPr>
          <w:rFonts w:ascii="Times New Roman" w:hAnsi="Times New Roman" w:cs="Times New Roman"/>
          <w:i/>
          <w:iCs/>
          <w:sz w:val="28"/>
          <w:szCs w:val="28"/>
        </w:rPr>
        <w:t> </w:t>
      </w:r>
      <w:r w:rsidRPr="004E6925">
        <w:rPr>
          <w:rFonts w:ascii="Times New Roman" w:hAnsi="Times New Roman" w:cs="Times New Roman"/>
          <w:b/>
          <w:bCs/>
          <w:i/>
          <w:iCs/>
          <w:sz w:val="28"/>
          <w:szCs w:val="28"/>
        </w:rPr>
        <w:t>звернень,</w:t>
      </w:r>
      <w:r w:rsidRPr="004E6925">
        <w:rPr>
          <w:rFonts w:ascii="Times New Roman" w:hAnsi="Times New Roman" w:cs="Times New Roman"/>
          <w:i/>
          <w:iCs/>
          <w:sz w:val="28"/>
          <w:szCs w:val="28"/>
        </w:rPr>
        <w:t> ( 0,9 % від загальної кількості);</w:t>
      </w:r>
      <w:r w:rsidRPr="004E6925">
        <w:rPr>
          <w:rFonts w:ascii="Times New Roman" w:hAnsi="Times New Roman" w:cs="Times New Roman"/>
          <w:b/>
          <w:bCs/>
          <w:i/>
          <w:iCs/>
          <w:sz w:val="28"/>
          <w:szCs w:val="28"/>
        </w:rPr>
        <w:t>від жінок</w:t>
      </w:r>
      <w:r w:rsidRPr="004E6925">
        <w:rPr>
          <w:rFonts w:ascii="Times New Roman" w:hAnsi="Times New Roman" w:cs="Times New Roman"/>
          <w:i/>
          <w:iCs/>
          <w:sz w:val="28"/>
          <w:szCs w:val="28"/>
        </w:rPr>
        <w:t> – </w:t>
      </w:r>
      <w:r w:rsidRPr="004E6925">
        <w:rPr>
          <w:rFonts w:ascii="Times New Roman" w:hAnsi="Times New Roman" w:cs="Times New Roman"/>
          <w:b/>
          <w:bCs/>
          <w:i/>
          <w:iCs/>
          <w:sz w:val="28"/>
          <w:szCs w:val="28"/>
        </w:rPr>
        <w:t>84031</w:t>
      </w:r>
      <w:r w:rsidRPr="004E6925">
        <w:rPr>
          <w:rFonts w:ascii="Times New Roman" w:hAnsi="Times New Roman" w:cs="Times New Roman"/>
          <w:i/>
          <w:iCs/>
          <w:sz w:val="28"/>
          <w:szCs w:val="28"/>
        </w:rPr>
        <w:t> звернення, (87,2 % від загальної кількості);</w:t>
      </w:r>
      <w:r w:rsidRPr="004E6925">
        <w:rPr>
          <w:rFonts w:ascii="Times New Roman" w:hAnsi="Times New Roman" w:cs="Times New Roman"/>
          <w:b/>
          <w:bCs/>
          <w:i/>
          <w:iCs/>
          <w:sz w:val="28"/>
          <w:szCs w:val="28"/>
        </w:rPr>
        <w:t>від чоловіків</w:t>
      </w:r>
      <w:r w:rsidRPr="004E6925">
        <w:rPr>
          <w:rFonts w:ascii="Times New Roman" w:hAnsi="Times New Roman" w:cs="Times New Roman"/>
          <w:i/>
          <w:iCs/>
          <w:sz w:val="28"/>
          <w:szCs w:val="28"/>
        </w:rPr>
        <w:t> – </w:t>
      </w:r>
      <w:r w:rsidRPr="004E6925">
        <w:rPr>
          <w:rFonts w:ascii="Times New Roman" w:hAnsi="Times New Roman" w:cs="Times New Roman"/>
          <w:b/>
          <w:bCs/>
          <w:i/>
          <w:iCs/>
          <w:sz w:val="28"/>
          <w:szCs w:val="28"/>
        </w:rPr>
        <w:t>11 491 </w:t>
      </w:r>
      <w:r w:rsidRPr="004E6925">
        <w:rPr>
          <w:rFonts w:ascii="Times New Roman" w:hAnsi="Times New Roman" w:cs="Times New Roman"/>
          <w:i/>
          <w:iCs/>
          <w:sz w:val="28"/>
          <w:szCs w:val="28"/>
        </w:rPr>
        <w:t>звернення, (11,9 % від загальної кількості звернень).</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Обліковано </w:t>
      </w:r>
      <w:r w:rsidRPr="004E6925">
        <w:rPr>
          <w:rFonts w:ascii="Times New Roman" w:hAnsi="Times New Roman" w:cs="Times New Roman"/>
          <w:b/>
          <w:bCs/>
          <w:i/>
          <w:iCs/>
          <w:sz w:val="28"/>
          <w:szCs w:val="28"/>
        </w:rPr>
        <w:t>145  звернень</w:t>
      </w:r>
      <w:r w:rsidRPr="004E6925">
        <w:rPr>
          <w:rFonts w:ascii="Times New Roman" w:hAnsi="Times New Roman" w:cs="Times New Roman"/>
          <w:i/>
          <w:iCs/>
          <w:sz w:val="28"/>
          <w:szCs w:val="28"/>
        </w:rPr>
        <w:t> щодо вчинення домашнього насильства стосовно  осіб з інвалідністю.</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Протягом І півріччя 2020 в регіонах України (24 області та м. Київ) проведено </w:t>
      </w:r>
      <w:r w:rsidRPr="004E6925">
        <w:rPr>
          <w:rFonts w:ascii="Times New Roman" w:hAnsi="Times New Roman" w:cs="Times New Roman"/>
          <w:b/>
          <w:bCs/>
          <w:i/>
          <w:iCs/>
          <w:sz w:val="28"/>
          <w:szCs w:val="28"/>
        </w:rPr>
        <w:t>4764 </w:t>
      </w:r>
      <w:r w:rsidRPr="004E6925">
        <w:rPr>
          <w:rFonts w:ascii="Times New Roman" w:hAnsi="Times New Roman" w:cs="Times New Roman"/>
          <w:i/>
          <w:iCs/>
          <w:sz w:val="28"/>
          <w:szCs w:val="28"/>
        </w:rPr>
        <w:t xml:space="preserve">інформаційно-просвітницьких заходів з метою захисту прав </w:t>
      </w:r>
      <w:r w:rsidRPr="004E6925">
        <w:rPr>
          <w:rFonts w:ascii="Times New Roman" w:hAnsi="Times New Roman" w:cs="Times New Roman"/>
          <w:i/>
          <w:iCs/>
          <w:sz w:val="28"/>
          <w:szCs w:val="28"/>
        </w:rPr>
        <w:lastRenderedPageBreak/>
        <w:t>дитини від насильства в сім’ї (у порівнянні з аналогічним періодом минулого року (4426 заходів) збільшення на 338 заходів або на </w:t>
      </w:r>
      <w:r w:rsidRPr="004E6925">
        <w:rPr>
          <w:rFonts w:ascii="Times New Roman" w:hAnsi="Times New Roman" w:cs="Times New Roman"/>
          <w:b/>
          <w:bCs/>
          <w:i/>
          <w:iCs/>
          <w:sz w:val="28"/>
          <w:szCs w:val="28"/>
        </w:rPr>
        <w:t>7,6 %</w:t>
      </w:r>
      <w:r w:rsidRPr="004E6925">
        <w:rPr>
          <w:rFonts w:ascii="Times New Roman" w:hAnsi="Times New Roman" w:cs="Times New Roman"/>
          <w:i/>
          <w:iCs/>
          <w:sz w:val="28"/>
          <w:szCs w:val="28"/>
        </w:rPr>
        <w:t>).</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Найбільше заходів</w:t>
      </w:r>
      <w:r w:rsidRPr="004E6925">
        <w:rPr>
          <w:rFonts w:ascii="Times New Roman" w:hAnsi="Times New Roman" w:cs="Times New Roman"/>
          <w:i/>
          <w:iCs/>
          <w:sz w:val="28"/>
          <w:szCs w:val="28"/>
        </w:rPr>
        <w:t> щодо запобігання та протидії домашньому насильству проведено у </w:t>
      </w:r>
      <w:r w:rsidRPr="004E6925">
        <w:rPr>
          <w:rFonts w:ascii="Times New Roman" w:hAnsi="Times New Roman" w:cs="Times New Roman"/>
          <w:b/>
          <w:bCs/>
          <w:i/>
          <w:iCs/>
          <w:sz w:val="28"/>
          <w:szCs w:val="28"/>
        </w:rPr>
        <w:t>Запорізькій </w:t>
      </w:r>
      <w:r w:rsidRPr="004E6925">
        <w:rPr>
          <w:rFonts w:ascii="Times New Roman" w:hAnsi="Times New Roman" w:cs="Times New Roman"/>
          <w:i/>
          <w:iCs/>
          <w:sz w:val="28"/>
          <w:szCs w:val="28"/>
        </w:rPr>
        <w:t>(486), </w:t>
      </w:r>
      <w:r w:rsidRPr="004E6925">
        <w:rPr>
          <w:rFonts w:ascii="Times New Roman" w:hAnsi="Times New Roman" w:cs="Times New Roman"/>
          <w:b/>
          <w:bCs/>
          <w:i/>
          <w:iCs/>
          <w:sz w:val="28"/>
          <w:szCs w:val="28"/>
        </w:rPr>
        <w:t>Одеській</w:t>
      </w:r>
      <w:r w:rsidRPr="004E6925">
        <w:rPr>
          <w:rFonts w:ascii="Times New Roman" w:hAnsi="Times New Roman" w:cs="Times New Roman"/>
          <w:i/>
          <w:iCs/>
          <w:sz w:val="28"/>
          <w:szCs w:val="28"/>
        </w:rPr>
        <w:t> (425), </w:t>
      </w:r>
      <w:r w:rsidRPr="004E6925">
        <w:rPr>
          <w:rFonts w:ascii="Times New Roman" w:hAnsi="Times New Roman" w:cs="Times New Roman"/>
          <w:b/>
          <w:bCs/>
          <w:i/>
          <w:iCs/>
          <w:sz w:val="28"/>
          <w:szCs w:val="28"/>
        </w:rPr>
        <w:t>Луганській</w:t>
      </w:r>
      <w:r w:rsidRPr="004E6925">
        <w:rPr>
          <w:rFonts w:ascii="Times New Roman" w:hAnsi="Times New Roman" w:cs="Times New Roman"/>
          <w:i/>
          <w:iCs/>
          <w:sz w:val="28"/>
          <w:szCs w:val="28"/>
        </w:rPr>
        <w:t> (330) областях та </w:t>
      </w:r>
      <w:r w:rsidRPr="004E6925">
        <w:rPr>
          <w:rFonts w:ascii="Times New Roman" w:hAnsi="Times New Roman" w:cs="Times New Roman"/>
          <w:b/>
          <w:bCs/>
          <w:i/>
          <w:iCs/>
          <w:sz w:val="28"/>
          <w:szCs w:val="28"/>
        </w:rPr>
        <w:t>м. Києві</w:t>
      </w:r>
      <w:r w:rsidRPr="004E6925">
        <w:rPr>
          <w:rFonts w:ascii="Times New Roman" w:hAnsi="Times New Roman" w:cs="Times New Roman"/>
          <w:i/>
          <w:iCs/>
          <w:sz w:val="28"/>
          <w:szCs w:val="28"/>
        </w:rPr>
        <w:t> (362).</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Найбільша кількість осіб, направлених на проходження програм для кривдників  у </w:t>
      </w:r>
      <w:r w:rsidRPr="004E6925">
        <w:rPr>
          <w:rFonts w:ascii="Times New Roman" w:hAnsi="Times New Roman" w:cs="Times New Roman"/>
          <w:b/>
          <w:bCs/>
          <w:i/>
          <w:iCs/>
          <w:sz w:val="28"/>
          <w:szCs w:val="28"/>
        </w:rPr>
        <w:t>Хмельницькій</w:t>
      </w:r>
      <w:r w:rsidRPr="004E6925">
        <w:rPr>
          <w:rFonts w:ascii="Times New Roman" w:hAnsi="Times New Roman" w:cs="Times New Roman"/>
          <w:i/>
          <w:iCs/>
          <w:sz w:val="28"/>
          <w:szCs w:val="28"/>
        </w:rPr>
        <w:t> (77),  </w:t>
      </w:r>
      <w:r w:rsidRPr="004E6925">
        <w:rPr>
          <w:rFonts w:ascii="Times New Roman" w:hAnsi="Times New Roman" w:cs="Times New Roman"/>
          <w:b/>
          <w:bCs/>
          <w:i/>
          <w:iCs/>
          <w:sz w:val="28"/>
          <w:szCs w:val="28"/>
        </w:rPr>
        <w:t>Миколаївській </w:t>
      </w:r>
      <w:r w:rsidRPr="004E6925">
        <w:rPr>
          <w:rFonts w:ascii="Times New Roman" w:hAnsi="Times New Roman" w:cs="Times New Roman"/>
          <w:i/>
          <w:iCs/>
          <w:sz w:val="28"/>
          <w:szCs w:val="28"/>
        </w:rPr>
        <w:t>(26), </w:t>
      </w:r>
      <w:r w:rsidRPr="004E6925">
        <w:rPr>
          <w:rFonts w:ascii="Times New Roman" w:hAnsi="Times New Roman" w:cs="Times New Roman"/>
          <w:b/>
          <w:bCs/>
          <w:i/>
          <w:iCs/>
          <w:sz w:val="28"/>
          <w:szCs w:val="28"/>
        </w:rPr>
        <w:t>Львівській</w:t>
      </w:r>
      <w:r w:rsidRPr="004E6925">
        <w:rPr>
          <w:rFonts w:ascii="Times New Roman" w:hAnsi="Times New Roman" w:cs="Times New Roman"/>
          <w:i/>
          <w:iCs/>
          <w:sz w:val="28"/>
          <w:szCs w:val="28"/>
        </w:rPr>
        <w:t> та </w:t>
      </w:r>
      <w:r w:rsidRPr="004E6925">
        <w:rPr>
          <w:rFonts w:ascii="Times New Roman" w:hAnsi="Times New Roman" w:cs="Times New Roman"/>
          <w:b/>
          <w:bCs/>
          <w:i/>
          <w:iCs/>
          <w:sz w:val="28"/>
          <w:szCs w:val="28"/>
        </w:rPr>
        <w:t>Луганській</w:t>
      </w:r>
      <w:r w:rsidRPr="004E6925">
        <w:rPr>
          <w:rFonts w:ascii="Times New Roman" w:hAnsi="Times New Roman" w:cs="Times New Roman"/>
          <w:i/>
          <w:iCs/>
          <w:sz w:val="28"/>
          <w:szCs w:val="28"/>
        </w:rPr>
        <w:t> областях -  22 осіб відповідно. </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Вперше запрацювала державна гаряча лінія для осіб, які постраждали від торгівлі людьми, домашнього насильства, насильства за ознакою статі, насильства стосовно дітей. Ухвалено відповідну постанову щодо підвищення ефективності роботи із зверненнями та повідомленнями про/або від осіб, які постраждали від торгівлі людьми, домашнього насильства, насильства за ознакою статі, насильства стосовно дітей, або про загрозу вчинення такого насильства. Визначено порядок опрацювання звернень від постраждалих осіб.</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Працює єдиний короткий номер «гарячої лінії» 1547з питань протидії торгівлі людьми, запобігання та протидії домашньому насильству, насильству за ознакою статі, та насильству стосовно дітей.   (</w:t>
      </w:r>
      <w:r w:rsidRPr="004E6925">
        <w:rPr>
          <w:rFonts w:ascii="Times New Roman" w:hAnsi="Times New Roman" w:cs="Times New Roman"/>
          <w:i/>
          <w:iCs/>
          <w:sz w:val="28"/>
          <w:szCs w:val="28"/>
          <w:u w:val="single"/>
        </w:rPr>
        <w:t>Станом на 01.09.2020 надійшло  6 727 звернень).</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xml:space="preserve">Визначено персональну відповідальність на всіх рівнях – від громади до Уряду. </w:t>
      </w:r>
      <w:proofErr w:type="spellStart"/>
      <w:r w:rsidRPr="004E6925">
        <w:rPr>
          <w:rFonts w:ascii="Times New Roman" w:hAnsi="Times New Roman" w:cs="Times New Roman"/>
          <w:i/>
          <w:iCs/>
          <w:sz w:val="28"/>
          <w:szCs w:val="28"/>
        </w:rPr>
        <w:t>Мінсоцполітики</w:t>
      </w:r>
      <w:proofErr w:type="spellEnd"/>
      <w:r w:rsidRPr="004E6925">
        <w:rPr>
          <w:rFonts w:ascii="Times New Roman" w:hAnsi="Times New Roman" w:cs="Times New Roman"/>
          <w:i/>
          <w:iCs/>
          <w:sz w:val="28"/>
          <w:szCs w:val="28"/>
        </w:rPr>
        <w:t xml:space="preserve"> узагальнено інформацію про 6102 персонально відповідальні особи по Україні </w:t>
      </w:r>
      <w:proofErr w:type="spellStart"/>
      <w:r w:rsidRPr="004E6925">
        <w:rPr>
          <w:rFonts w:ascii="Times New Roman" w:hAnsi="Times New Roman" w:cs="Times New Roman"/>
          <w:i/>
          <w:iCs/>
          <w:sz w:val="28"/>
          <w:szCs w:val="28"/>
        </w:rPr>
        <w:t>вцілому</w:t>
      </w:r>
      <w:proofErr w:type="spellEnd"/>
      <w:r w:rsidRPr="004E6925">
        <w:rPr>
          <w:rFonts w:ascii="Times New Roman" w:hAnsi="Times New Roman" w:cs="Times New Roman"/>
          <w:i/>
          <w:iCs/>
          <w:sz w:val="28"/>
          <w:szCs w:val="28"/>
        </w:rPr>
        <w:t>, з них: 25 – осіб на рівні  відповідальних заступників голів обласних державних адміністрацій, 509 осіб – на рівні заступників голів районних державних адміністрацій, 163 особи – на рівні заступників міських голів, 707 осіб - на рівні об’єднаних територіальних громад та 4698 осіб - визначено відповідальними за протидію домашньому насильству на рівні виконавчих комітетів сільських, селищ них рад.</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xml:space="preserve">Створено моделі допомоги та </w:t>
      </w:r>
      <w:proofErr w:type="spellStart"/>
      <w:r w:rsidRPr="004E6925">
        <w:rPr>
          <w:rFonts w:ascii="Times New Roman" w:hAnsi="Times New Roman" w:cs="Times New Roman"/>
          <w:i/>
          <w:iCs/>
          <w:sz w:val="28"/>
          <w:szCs w:val="28"/>
        </w:rPr>
        <w:t>перенаправлення</w:t>
      </w:r>
      <w:proofErr w:type="spellEnd"/>
      <w:r w:rsidRPr="004E6925">
        <w:rPr>
          <w:rFonts w:ascii="Times New Roman" w:hAnsi="Times New Roman" w:cs="Times New Roman"/>
          <w:i/>
          <w:iCs/>
          <w:sz w:val="28"/>
          <w:szCs w:val="28"/>
        </w:rPr>
        <w:t>. Розроблені моделі сервісів: притулки для постраждалих, мобільні бригади соціально-психологічної допомоги.</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Станом на 01.08.2020 надання соціальних послуг, у тому числі тимчасового притулку особам, які перебувають у складних життєвих обставинах, зокрема внаслідок учинення стосовно них домашнього насильства та насильства за ознакою статі, забезпечують:</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393</w:t>
      </w:r>
      <w:r w:rsidRPr="004E6925">
        <w:rPr>
          <w:rFonts w:ascii="Times New Roman" w:hAnsi="Times New Roman" w:cs="Times New Roman"/>
          <w:i/>
          <w:iCs/>
          <w:sz w:val="28"/>
          <w:szCs w:val="28"/>
        </w:rPr>
        <w:t> мобільних бригади соціально-психологічної допомоги особам, які постраждали від домашнього насильства та / або насильства за ознакою статі;</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28</w:t>
      </w:r>
      <w:r w:rsidRPr="004E6925">
        <w:rPr>
          <w:rFonts w:ascii="Times New Roman" w:hAnsi="Times New Roman" w:cs="Times New Roman"/>
          <w:i/>
          <w:iCs/>
          <w:sz w:val="28"/>
          <w:szCs w:val="28"/>
        </w:rPr>
        <w:t> притулки або відділення для осіб, які постраждали від домашнього насильства та / або насильства за ознакою статі;</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2 </w:t>
      </w:r>
      <w:r w:rsidRPr="004E6925">
        <w:rPr>
          <w:rFonts w:ascii="Times New Roman" w:hAnsi="Times New Roman" w:cs="Times New Roman"/>
          <w:i/>
          <w:iCs/>
          <w:sz w:val="28"/>
          <w:szCs w:val="28"/>
        </w:rPr>
        <w:t>центри медико-соціальної реабілітації постраждалих осіб;</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11</w:t>
      </w:r>
      <w:r w:rsidRPr="004E6925">
        <w:rPr>
          <w:rFonts w:ascii="Times New Roman" w:hAnsi="Times New Roman" w:cs="Times New Roman"/>
          <w:i/>
          <w:iCs/>
          <w:sz w:val="28"/>
          <w:szCs w:val="28"/>
        </w:rPr>
        <w:t> центрів  денного  перебування постраждалих осіб</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116</w:t>
      </w:r>
      <w:r w:rsidRPr="004E6925">
        <w:rPr>
          <w:rFonts w:ascii="Times New Roman" w:hAnsi="Times New Roman" w:cs="Times New Roman"/>
          <w:i/>
          <w:iCs/>
          <w:sz w:val="28"/>
          <w:szCs w:val="28"/>
        </w:rPr>
        <w:t> обласних, міських, районних „гарячих ліній”.</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lastRenderedPageBreak/>
        <w:t>Підвищено </w:t>
      </w:r>
      <w:r w:rsidRPr="004E6925">
        <w:rPr>
          <w:rFonts w:ascii="Times New Roman" w:hAnsi="Times New Roman" w:cs="Times New Roman"/>
          <w:b/>
          <w:bCs/>
          <w:i/>
          <w:iCs/>
          <w:sz w:val="28"/>
          <w:szCs w:val="28"/>
        </w:rPr>
        <w:t>доступність до правосуддя</w:t>
      </w:r>
      <w:r w:rsidRPr="004E6925">
        <w:rPr>
          <w:rFonts w:ascii="Times New Roman" w:hAnsi="Times New Roman" w:cs="Times New Roman"/>
          <w:i/>
          <w:iCs/>
          <w:sz w:val="28"/>
          <w:szCs w:val="28"/>
        </w:rPr>
        <w:t> для постраждалих осіб від домашнього насильства. Потерпілі від домашнього насильства мають доступ до безоплатної первинної і вторинної правової допомоги</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xml:space="preserve">За підтримки міжнародних організацій проводяться тренінги та навчання для представників правоохоронних органів та сектору безпеки, суддів, присвячені питанням належного реагування на випадки </w:t>
      </w:r>
      <w:proofErr w:type="spellStart"/>
      <w:r w:rsidRPr="004E6925">
        <w:rPr>
          <w:rFonts w:ascii="Times New Roman" w:hAnsi="Times New Roman" w:cs="Times New Roman"/>
          <w:i/>
          <w:iCs/>
          <w:sz w:val="28"/>
          <w:szCs w:val="28"/>
        </w:rPr>
        <w:t>ґендерно</w:t>
      </w:r>
      <w:proofErr w:type="spellEnd"/>
      <w:r w:rsidRPr="004E6925">
        <w:rPr>
          <w:rFonts w:ascii="Times New Roman" w:hAnsi="Times New Roman" w:cs="Times New Roman"/>
          <w:i/>
          <w:iCs/>
          <w:sz w:val="28"/>
          <w:szCs w:val="28"/>
        </w:rPr>
        <w:t>-зумовленого та домашнього насильства, протидії та запобігання ним.</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u w:val="single"/>
        </w:rPr>
        <w:t>Короткострокові завдання</w:t>
      </w:r>
    </w:p>
    <w:p w:rsidR="004E6925" w:rsidRPr="004E6925" w:rsidRDefault="004E6925" w:rsidP="004E6925">
      <w:pPr>
        <w:spacing w:after="0"/>
        <w:ind w:firstLine="567"/>
        <w:jc w:val="both"/>
        <w:rPr>
          <w:rFonts w:ascii="Times New Roman" w:hAnsi="Times New Roman" w:cs="Times New Roman"/>
          <w:sz w:val="28"/>
          <w:szCs w:val="28"/>
        </w:rPr>
      </w:pPr>
      <w:proofErr w:type="spellStart"/>
      <w:r w:rsidRPr="004E6925">
        <w:rPr>
          <w:rFonts w:ascii="Times New Roman" w:hAnsi="Times New Roman" w:cs="Times New Roman"/>
          <w:i/>
          <w:iCs/>
          <w:sz w:val="28"/>
          <w:szCs w:val="28"/>
        </w:rPr>
        <w:t>Мінсоцполітики</w:t>
      </w:r>
      <w:proofErr w:type="spellEnd"/>
      <w:r w:rsidRPr="004E6925">
        <w:rPr>
          <w:rFonts w:ascii="Times New Roman" w:hAnsi="Times New Roman" w:cs="Times New Roman"/>
          <w:i/>
          <w:iCs/>
          <w:sz w:val="28"/>
          <w:szCs w:val="28"/>
        </w:rPr>
        <w:t xml:space="preserve"> планує:</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запровадити тематичні бліц навчання  (короткотермінові навчання) за спеціалізованими напрямками для фахівців  профільних відділів Міністерства;</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забезпечити розробку інтерактивної «мапи допомоги», на якій у розрізі областей будуть нанесені контакти спеціалізованих служб підтримки постраждалих осіб та контактні дані осіб, які є персонально відповідальними за  здійснення заходів у сфері запобігання та протидії домашньому насильству на рівні обласних державних адміністрацій, об’єднаних територіальних громад, міських, сільських, селищних рад;</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продовжити навчання фахівців національної гарячої лінії з надання допомоги особам, які постраждали від домашнього насильства, насильства за ознакою статі, насильства стосовно дітей, або про загрозу вчинення такого насильства та працівників  спеціалізованих служб підтримки постраждалих осіб, а відтак, перспективне формування тренерської мережі;</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xml:space="preserve">- розробити відео-інформаційні матеріали з врахуванням особливостей </w:t>
      </w:r>
      <w:proofErr w:type="spellStart"/>
      <w:r w:rsidRPr="004E6925">
        <w:rPr>
          <w:rFonts w:ascii="Times New Roman" w:hAnsi="Times New Roman" w:cs="Times New Roman"/>
          <w:i/>
          <w:iCs/>
          <w:sz w:val="28"/>
          <w:szCs w:val="28"/>
        </w:rPr>
        <w:t>дактильно</w:t>
      </w:r>
      <w:proofErr w:type="spellEnd"/>
      <w:r w:rsidRPr="004E6925">
        <w:rPr>
          <w:rFonts w:ascii="Times New Roman" w:hAnsi="Times New Roman" w:cs="Times New Roman"/>
          <w:i/>
          <w:iCs/>
          <w:sz w:val="28"/>
          <w:szCs w:val="28"/>
        </w:rPr>
        <w:t>-жестової мови</w:t>
      </w:r>
      <w:r w:rsidRPr="004E6925">
        <w:rPr>
          <w:rFonts w:ascii="Times New Roman" w:hAnsi="Times New Roman" w:cs="Times New Roman"/>
          <w:b/>
          <w:bCs/>
          <w:i/>
          <w:iCs/>
          <w:sz w:val="28"/>
          <w:szCs w:val="28"/>
        </w:rPr>
        <w:t> </w:t>
      </w:r>
      <w:r w:rsidRPr="004E6925">
        <w:rPr>
          <w:rFonts w:ascii="Times New Roman" w:hAnsi="Times New Roman" w:cs="Times New Roman"/>
          <w:i/>
          <w:iCs/>
          <w:sz w:val="28"/>
          <w:szCs w:val="28"/>
        </w:rPr>
        <w:t xml:space="preserve">та </w:t>
      </w:r>
      <w:proofErr w:type="spellStart"/>
      <w:r w:rsidRPr="004E6925">
        <w:rPr>
          <w:rFonts w:ascii="Times New Roman" w:hAnsi="Times New Roman" w:cs="Times New Roman"/>
          <w:i/>
          <w:iCs/>
          <w:sz w:val="28"/>
          <w:szCs w:val="28"/>
        </w:rPr>
        <w:t>шрифта</w:t>
      </w:r>
      <w:proofErr w:type="spellEnd"/>
      <w:r w:rsidRPr="004E6925">
        <w:rPr>
          <w:rFonts w:ascii="Times New Roman" w:hAnsi="Times New Roman" w:cs="Times New Roman"/>
          <w:i/>
          <w:iCs/>
          <w:sz w:val="28"/>
          <w:szCs w:val="28"/>
        </w:rPr>
        <w:t xml:space="preserve"> </w:t>
      </w:r>
      <w:proofErr w:type="spellStart"/>
      <w:r w:rsidRPr="004E6925">
        <w:rPr>
          <w:rFonts w:ascii="Times New Roman" w:hAnsi="Times New Roman" w:cs="Times New Roman"/>
          <w:i/>
          <w:iCs/>
          <w:sz w:val="28"/>
          <w:szCs w:val="28"/>
        </w:rPr>
        <w:t>Брайля</w:t>
      </w:r>
      <w:proofErr w:type="spellEnd"/>
      <w:r w:rsidRPr="004E6925">
        <w:rPr>
          <w:rFonts w:ascii="Times New Roman" w:hAnsi="Times New Roman" w:cs="Times New Roman"/>
          <w:i/>
          <w:iCs/>
          <w:sz w:val="28"/>
          <w:szCs w:val="28"/>
        </w:rPr>
        <w:t xml:space="preserve"> для підвищення обізнаності осіб з інвалідністю, зокрема з вадами зору та слуху;</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xml:space="preserve">- забезпечити поширення "нульової толерантності" до насильства,  інформуючи про отримання спектру послуг (з </w:t>
      </w:r>
      <w:proofErr w:type="spellStart"/>
      <w:r w:rsidRPr="004E6925">
        <w:rPr>
          <w:rFonts w:ascii="Times New Roman" w:hAnsi="Times New Roman" w:cs="Times New Roman"/>
          <w:i/>
          <w:iCs/>
          <w:sz w:val="28"/>
          <w:szCs w:val="28"/>
        </w:rPr>
        <w:t>врахувнням</w:t>
      </w:r>
      <w:proofErr w:type="spellEnd"/>
      <w:r w:rsidRPr="004E6925">
        <w:rPr>
          <w:rFonts w:ascii="Times New Roman" w:hAnsi="Times New Roman" w:cs="Times New Roman"/>
          <w:i/>
          <w:iCs/>
          <w:sz w:val="28"/>
          <w:szCs w:val="28"/>
        </w:rPr>
        <w:t xml:space="preserve"> правил конфіденційності) громадськість.</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перезавантаження інформаційних додатків про запобігання та протидію домашньому насильству у формат QR-коду для легкого сканування фотокамерою мобільного телефону, а також, створення зручних інформаційних сервісів (пошукових фільтрів та інформаційних карт) доступних для населення.</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u w:val="single"/>
        </w:rPr>
        <w:t>Довгострокові   завдання</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Очікується, що основні заходи на найближчі п’ять років будуть спрямовані на реалізацію базових принципів національного законодавства з протидії насильству за чотирма пріоритетними напрямами:</w:t>
      </w:r>
    </w:p>
    <w:p w:rsidR="004E6925" w:rsidRPr="004E6925" w:rsidRDefault="004E6925" w:rsidP="004E6925">
      <w:pPr>
        <w:numPr>
          <w:ilvl w:val="0"/>
          <w:numId w:val="1"/>
        </w:num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попередження</w:t>
      </w:r>
      <w:r w:rsidRPr="004E6925">
        <w:rPr>
          <w:rFonts w:ascii="Times New Roman" w:hAnsi="Times New Roman" w:cs="Times New Roman"/>
          <w:i/>
          <w:iCs/>
          <w:sz w:val="28"/>
          <w:szCs w:val="28"/>
        </w:rPr>
        <w:t> – формування в українському суспільстві </w:t>
      </w:r>
      <w:r w:rsidRPr="004E6925">
        <w:rPr>
          <w:rFonts w:ascii="Times New Roman" w:hAnsi="Times New Roman" w:cs="Times New Roman"/>
          <w:i/>
          <w:iCs/>
          <w:sz w:val="28"/>
          <w:szCs w:val="28"/>
          <w:u w:val="single"/>
        </w:rPr>
        <w:t>нульової толерантності</w:t>
      </w:r>
      <w:r w:rsidRPr="004E6925">
        <w:rPr>
          <w:rFonts w:ascii="Times New Roman" w:hAnsi="Times New Roman" w:cs="Times New Roman"/>
          <w:i/>
          <w:iCs/>
          <w:sz w:val="28"/>
          <w:szCs w:val="28"/>
        </w:rPr>
        <w:t xml:space="preserve"> до насильства та посилення готовності протидіяти його проявам шляхом формування скоординованої політики та подальшої розбудови системи комплексного реагування на насильство, коли кожен </w:t>
      </w:r>
      <w:r w:rsidRPr="004E6925">
        <w:rPr>
          <w:rFonts w:ascii="Times New Roman" w:hAnsi="Times New Roman" w:cs="Times New Roman"/>
          <w:i/>
          <w:iCs/>
          <w:sz w:val="28"/>
          <w:szCs w:val="28"/>
        </w:rPr>
        <w:lastRenderedPageBreak/>
        <w:t>випадок має належну увагу залучених суб’єктів, а також підвищення обізнаності громад та чутливості фахівців;</w:t>
      </w:r>
    </w:p>
    <w:p w:rsidR="004E6925" w:rsidRPr="004E6925" w:rsidRDefault="004E6925" w:rsidP="004E6925">
      <w:pPr>
        <w:numPr>
          <w:ilvl w:val="0"/>
          <w:numId w:val="1"/>
        </w:num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u w:val="single"/>
        </w:rPr>
        <w:t>забезпечення постраждалих</w:t>
      </w:r>
      <w:r w:rsidRPr="004E6925">
        <w:rPr>
          <w:rFonts w:ascii="Times New Roman" w:hAnsi="Times New Roman" w:cs="Times New Roman"/>
          <w:b/>
          <w:bCs/>
          <w:i/>
          <w:iCs/>
          <w:sz w:val="28"/>
          <w:szCs w:val="28"/>
        </w:rPr>
        <w:t> послугами та захистом</w:t>
      </w:r>
      <w:r w:rsidRPr="004E6925">
        <w:rPr>
          <w:rFonts w:ascii="Times New Roman" w:hAnsi="Times New Roman" w:cs="Times New Roman"/>
          <w:i/>
          <w:iCs/>
          <w:sz w:val="28"/>
          <w:szCs w:val="28"/>
        </w:rPr>
        <w:t> – створення умов, за яких постраждалі, незалежно від віку та стану здоров’я, мають доступ до комплексних послуг, орієнтованих на їх потреби, та отримують їх. З цією метою заплановано інтеграцію методології мінімального базового пакету послуг, орієнтованих на постраждалих, у місцеві та регіональні програми і плани дій;</w:t>
      </w:r>
    </w:p>
    <w:p w:rsidR="004E6925" w:rsidRPr="004E6925" w:rsidRDefault="004E6925" w:rsidP="004E6925">
      <w:pPr>
        <w:numPr>
          <w:ilvl w:val="0"/>
          <w:numId w:val="1"/>
        </w:num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u w:val="single"/>
        </w:rPr>
        <w:t>притягнення кривдника</w:t>
      </w:r>
      <w:r w:rsidRPr="004E6925">
        <w:rPr>
          <w:rFonts w:ascii="Times New Roman" w:hAnsi="Times New Roman" w:cs="Times New Roman"/>
          <w:i/>
          <w:iCs/>
          <w:sz w:val="28"/>
          <w:szCs w:val="28"/>
        </w:rPr>
        <w:t> до передбаченої законом відповідальності та змінення моделі його поведінки;</w:t>
      </w:r>
    </w:p>
    <w:p w:rsidR="004E6925" w:rsidRPr="004E6925" w:rsidRDefault="004E6925" w:rsidP="004E6925">
      <w:pPr>
        <w:numPr>
          <w:ilvl w:val="0"/>
          <w:numId w:val="1"/>
        </w:numPr>
        <w:spacing w:after="0"/>
        <w:ind w:firstLine="567"/>
        <w:jc w:val="both"/>
        <w:rPr>
          <w:rFonts w:ascii="Times New Roman" w:hAnsi="Times New Roman" w:cs="Times New Roman"/>
          <w:sz w:val="28"/>
          <w:szCs w:val="28"/>
        </w:rPr>
      </w:pPr>
      <w:r w:rsidRPr="004E6925">
        <w:rPr>
          <w:rFonts w:ascii="Times New Roman" w:hAnsi="Times New Roman" w:cs="Times New Roman"/>
          <w:b/>
          <w:bCs/>
          <w:i/>
          <w:iCs/>
          <w:sz w:val="28"/>
          <w:szCs w:val="28"/>
        </w:rPr>
        <w:t>забезпечення сталості </w:t>
      </w:r>
      <w:r w:rsidRPr="004E6925">
        <w:rPr>
          <w:rFonts w:ascii="Times New Roman" w:hAnsi="Times New Roman" w:cs="Times New Roman"/>
          <w:b/>
          <w:bCs/>
          <w:i/>
          <w:iCs/>
          <w:sz w:val="28"/>
          <w:szCs w:val="28"/>
          <w:u w:val="single"/>
        </w:rPr>
        <w:t>місцевих механізмів</w:t>
      </w:r>
      <w:r w:rsidRPr="004E6925">
        <w:rPr>
          <w:rFonts w:ascii="Times New Roman" w:hAnsi="Times New Roman" w:cs="Times New Roman"/>
          <w:i/>
          <w:iCs/>
          <w:sz w:val="28"/>
          <w:szCs w:val="28"/>
        </w:rPr>
        <w:t> запобігання та протидії домашньому насильству і насильству за ознакою статі, розвиток механізмів державно-приватного партнерства та соціального замовлення.</w:t>
      </w:r>
    </w:p>
    <w:p w:rsidR="004E6925" w:rsidRPr="004E6925" w:rsidRDefault="004E6925" w:rsidP="004E6925">
      <w:pPr>
        <w:spacing w:after="0"/>
        <w:ind w:firstLine="567"/>
        <w:jc w:val="both"/>
        <w:rPr>
          <w:rFonts w:ascii="Times New Roman" w:hAnsi="Times New Roman" w:cs="Times New Roman"/>
          <w:sz w:val="28"/>
          <w:szCs w:val="28"/>
        </w:rPr>
      </w:pPr>
      <w:r w:rsidRPr="004E6925">
        <w:rPr>
          <w:rFonts w:ascii="Times New Roman" w:hAnsi="Times New Roman" w:cs="Times New Roman"/>
          <w:i/>
          <w:iCs/>
          <w:sz w:val="28"/>
          <w:szCs w:val="28"/>
        </w:rPr>
        <w:t> </w:t>
      </w:r>
    </w:p>
    <w:p w:rsidR="004E6925" w:rsidRPr="004E6925" w:rsidRDefault="004E6925" w:rsidP="004E6925">
      <w:pPr>
        <w:spacing w:after="0"/>
        <w:ind w:firstLine="567"/>
        <w:jc w:val="both"/>
        <w:rPr>
          <w:rFonts w:ascii="Times New Roman" w:hAnsi="Times New Roman" w:cs="Times New Roman"/>
          <w:sz w:val="28"/>
          <w:szCs w:val="28"/>
        </w:rPr>
      </w:pPr>
    </w:p>
    <w:sectPr w:rsidR="004E6925" w:rsidRPr="004E6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5EAB"/>
    <w:multiLevelType w:val="multilevel"/>
    <w:tmpl w:val="16C0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23"/>
    <w:rsid w:val="004E6925"/>
    <w:rsid w:val="00545664"/>
    <w:rsid w:val="00D86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7C413-47F7-4FBC-8B0F-AE3997D1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6925"/>
    <w:rPr>
      <w:color w:val="0000FF"/>
      <w:u w:val="single"/>
    </w:rPr>
  </w:style>
  <w:style w:type="paragraph" w:styleId="a4">
    <w:name w:val="No Spacing"/>
    <w:uiPriority w:val="1"/>
    <w:qFormat/>
    <w:rsid w:val="004E6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5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5504</Words>
  <Characters>3138</Characters>
  <Application>Microsoft Office Word</Application>
  <DocSecurity>0</DocSecurity>
  <Lines>26</Lines>
  <Paragraphs>17</Paragraphs>
  <ScaleCrop>false</ScaleCrop>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2020-09-22T13:01:00Z</dcterms:created>
  <dcterms:modified xsi:type="dcterms:W3CDTF">2020-09-22T13:03:00Z</dcterms:modified>
</cp:coreProperties>
</file>