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"/>
        <w:ind w:left="10" w:right="104" w:hanging="10"/>
        <w:jc w:val="right"/>
        <w:rPr/>
      </w:pPr>
      <w:r>
        <w:rPr>
          <w:rFonts w:eastAsia="Times New Roman" w:cs="Times New Roman" w:ascii="Times New Roman" w:hAnsi="Times New Roman"/>
          <w:sz w:val="20"/>
        </w:rPr>
        <w:t>________________</w:t>
      </w:r>
      <w:r>
        <w:rPr>
          <w:rFonts w:eastAsia="Times New Roman" w:cs="Times New Roman" w:ascii="Times New Roman" w:hAnsi="Times New Roman"/>
          <w:b/>
          <w:sz w:val="20"/>
        </w:rPr>
        <w:t>_</w:t>
      </w:r>
      <w:r>
        <w:rPr>
          <w:rFonts w:eastAsia="Times New Roman" w:cs="Times New Roman" w:ascii="Times New Roman" w:hAnsi="Times New Roman"/>
          <w:sz w:val="20"/>
        </w:rPr>
        <w:t xml:space="preserve">____________________________ </w:t>
      </w:r>
    </w:p>
    <w:p>
      <w:pPr>
        <w:pStyle w:val="Normal"/>
        <w:spacing w:lineRule="auto" w:line="264" w:before="0" w:after="4"/>
        <w:ind w:left="4671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(дата офіційного опублікування в Єдиному реєстрі з оцінки впливу на довкілля (автоматично </w:t>
      </w:r>
    </w:p>
    <w:p>
      <w:pPr>
        <w:pStyle w:val="Normal"/>
        <w:spacing w:before="0" w:after="20"/>
        <w:ind w:left="10" w:right="363" w:hanging="10"/>
        <w:jc w:val="right"/>
        <w:rPr/>
      </w:pPr>
      <w:r>
        <w:rPr>
          <w:rFonts w:eastAsia="Times New Roman" w:cs="Times New Roman" w:ascii="Times New Roman" w:hAnsi="Times New Roman"/>
          <w:sz w:val="20"/>
        </w:rPr>
        <w:t xml:space="preserve">генерується програмними засобами ведення </w:t>
      </w:r>
    </w:p>
    <w:p>
      <w:pPr>
        <w:pStyle w:val="Normal"/>
        <w:spacing w:lineRule="auto" w:line="264" w:before="0" w:after="90"/>
        <w:ind w:left="4657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Реєстру, не зазначається суб’єктом господарювання) </w:t>
      </w:r>
    </w:p>
    <w:p>
      <w:pPr>
        <w:pStyle w:val="Normal"/>
        <w:spacing w:before="0" w:after="20"/>
        <w:ind w:left="10" w:right="268" w:hanging="10"/>
        <w:jc w:val="right"/>
        <w:rPr/>
      </w:pPr>
      <w:r>
        <w:rPr>
          <w:rFonts w:eastAsia="Times New Roman" w:cs="Times New Roman" w:ascii="Times New Roman" w:hAnsi="Times New Roman"/>
          <w:sz w:val="20"/>
        </w:rPr>
        <w:t>_____________</w:t>
      </w:r>
      <w:r>
        <w:rPr>
          <w:rFonts w:eastAsia="Times New Roman" w:cs="Times New Roman" w:ascii="Times New Roman" w:hAnsi="Times New Roman"/>
          <w:b/>
          <w:sz w:val="20"/>
          <w:u w:val="single" w:color="000000"/>
          <w:lang w:val="uk-UA"/>
        </w:rPr>
        <w:t>20216268143</w:t>
      </w:r>
      <w:r>
        <w:rPr>
          <w:rFonts w:eastAsia="Times New Roman" w:cs="Times New Roman" w:ascii="Times New Roman" w:hAnsi="Times New Roman"/>
          <w:b/>
          <w:sz w:val="20"/>
          <w:u w:val="single" w:color="00000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_________________ </w:t>
      </w:r>
    </w:p>
    <w:p>
      <w:pPr>
        <w:pStyle w:val="Normal"/>
        <w:spacing w:lineRule="auto" w:line="264" w:before="0" w:after="11"/>
        <w:ind w:left="5519" w:hanging="831"/>
        <w:rPr/>
      </w:pPr>
      <w:r>
        <w:rPr>
          <w:rFonts w:eastAsia="Times New Roman" w:cs="Times New Roman" w:ascii="Times New Roman" w:hAnsi="Times New Roman"/>
          <w:sz w:val="20"/>
        </w:rPr>
        <w:t xml:space="preserve">(реєстраційний номер справи про оцінку впливу на довкілля планованої діяльності) </w:t>
      </w:r>
    </w:p>
    <w:p>
      <w:pPr>
        <w:pStyle w:val="Normal"/>
        <w:spacing w:before="0" w:after="150"/>
        <w:ind w:left="866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1"/>
        <w:rPr/>
      </w:pPr>
      <w:r>
        <w:rPr/>
        <w:t xml:space="preserve">ОГОЛОШЕННЯ </w:t>
      </w:r>
    </w:p>
    <w:p>
      <w:pPr>
        <w:pStyle w:val="Normal"/>
        <w:spacing w:lineRule="auto" w:line="276" w:before="0" w:after="65"/>
        <w:ind w:left="2996" w:right="1916" w:hanging="913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про початок громадського обговорення звіту  з оцінки впливу на довкілля </w:t>
      </w:r>
    </w:p>
    <w:p>
      <w:pPr>
        <w:pStyle w:val="Normal"/>
        <w:spacing w:lineRule="auto" w:line="252" w:before="0" w:after="0"/>
        <w:ind w:left="-15"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Повідомляємо про початок громадського обговорення звіту з оцінки впливу на довкілля планованої діяльності, зазначеної у пункті 1 цього оголошення, з метою виявлення, збирання та врахування зауважень і пропозицій громадськості до планованої діяльності. </w:t>
      </w:r>
    </w:p>
    <w:p>
      <w:pPr>
        <w:pStyle w:val="Normal"/>
        <w:spacing w:before="0" w:after="20"/>
        <w:ind w:left="566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2" w:before="0" w:after="147"/>
        <w:ind w:left="566" w:right="43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1. Планована діяльність </w:t>
      </w:r>
    </w:p>
    <w:p>
      <w:pPr>
        <w:pStyle w:val="Normal"/>
        <w:spacing w:lineRule="auto" w:line="25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Державне підприємство «Кремінське лісомисливське господарство» здійснює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проведення рубок формування та оздоровлення лісів (суцільних санітарних рубок)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 у насадженнях, пошкоджених лісовими пожежами, на підставі спеціального дозволу- лісорубного квитка, з подальшим лісовідновленням на місцях зрубів.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64" w:before="0" w:after="128"/>
        <w:ind w:left="151" w:right="201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(загальні технічні характеристики, у тому числі параметри планованої діяльності </w:t>
      </w:r>
    </w:p>
    <w:p>
      <w:pPr>
        <w:pStyle w:val="Normal"/>
        <w:spacing w:lineRule="auto" w:line="252" w:before="0" w:after="52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Планована діяльність здійснюється на території лісового фонду Державного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підприємства «Кремінське лісомисливське господарство»,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Боровенського мисливського лісництва в межах Сєвєродонецького адміністративного району Луганської області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2" w:before="0" w:after="40"/>
        <w:ind w:left="-10" w:right="38" w:firstLine="698"/>
        <w:jc w:val="both"/>
        <w:rPr>
          <w:rFonts w:ascii="Times New Roman" w:hAnsi="Times New Roman" w:eastAsia="Times New Roman" w:cs="Times New Roman"/>
          <w:sz w:val="24"/>
          <w:u w:val="single" w:color="000000"/>
        </w:rPr>
      </w:pP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Площа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лісів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державного підприємства «Кремінське лісомисливське господарство»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Боровенського мисливського лісництва,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пошкоджених лісовими пожежами складає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552,5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га, стовбурним запасом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119,32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тис. м3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.</w:t>
      </w:r>
    </w:p>
    <w:p>
      <w:pPr>
        <w:pStyle w:val="Normal"/>
        <w:spacing w:lineRule="auto" w:line="312" w:before="0" w:after="3"/>
        <w:ind w:left="-10" w:right="38" w:firstLine="69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4"/>
          <w:u w:val="single" w:color="000000"/>
        </w:rPr>
        <w:t>Шляхом лісопатологічного обстеження встановлено, що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 потребують проведення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суцільних санітарних рубок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-493,7га,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з них 488,5 га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з площею лісосік – 1 га і більше. Загальний стовбурний запас деревини, що підлягає вирубуванню складає</w:t>
      </w:r>
      <w:r>
        <w:rPr>
          <w:rFonts w:eastAsia="Times New Roman" w:cs="Times New Roman" w:ascii="Times New Roman" w:hAnsi="Times New Roman"/>
          <w:sz w:val="24"/>
          <w:lang w:val="uk-UA"/>
        </w:rPr>
        <w:t xml:space="preserve">  – 86,5 тис. м³ .</w:t>
      </w:r>
    </w:p>
    <w:p>
      <w:pPr>
        <w:pStyle w:val="Normal"/>
        <w:spacing w:lineRule="auto" w:line="252" w:before="0" w:after="23"/>
        <w:ind w:left="566" w:right="43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2. Суб’єкт господарювання  </w:t>
      </w:r>
    </w:p>
    <w:p>
      <w:pPr>
        <w:pStyle w:val="Normal"/>
        <w:spacing w:lineRule="auto" w:line="271" w:before="0" w:after="3"/>
        <w:ind w:left="12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 xml:space="preserve">Державне підприємство «Кремінське лісомисливське господарство» </w:t>
      </w:r>
    </w:p>
    <w:p>
      <w:pPr>
        <w:pStyle w:val="Normal"/>
        <w:spacing w:lineRule="auto" w:line="264" w:before="0" w:after="78"/>
        <w:ind w:left="151" w:right="136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(повне найменування юридичної особи, код згідно з ЄДРПОУ або прізвище, ім’я та по батькові  </w:t>
      </w:r>
    </w:p>
    <w:p>
      <w:pPr>
        <w:pStyle w:val="2"/>
        <w:ind w:left="12" w:right="53" w:hanging="10"/>
        <w:rPr/>
      </w:pPr>
      <w:r>
        <w:rPr/>
        <w:t>код ЄДРПОУ 00993604</w:t>
      </w:r>
      <w:r>
        <w:rPr>
          <w:b w:val="false"/>
          <w:u w:val="none"/>
        </w:rPr>
        <w:t xml:space="preserve"> </w:t>
      </w:r>
    </w:p>
    <w:p>
      <w:pPr>
        <w:pStyle w:val="Normal"/>
        <w:spacing w:lineRule="auto" w:line="264" w:before="0" w:after="4"/>
        <w:ind w:left="151" w:right="186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фізичної особи - підприємця, ідентифікаційний код </w:t>
      </w:r>
    </w:p>
    <w:p>
      <w:pPr>
        <w:pStyle w:val="Normal"/>
        <w:spacing w:lineRule="auto" w:line="264" w:before="0" w:after="4"/>
        <w:ind w:left="151" w:right="135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або серія та номер паспорта (для фізичних осіб, які через свої релігійні переконання відмовляються від </w:t>
      </w:r>
    </w:p>
    <w:p>
      <w:pPr>
        <w:pStyle w:val="Normal"/>
        <w:spacing w:lineRule="auto" w:line="264" w:before="0" w:after="53"/>
        <w:ind w:left="151" w:right="141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паспорті), </w:t>
      </w:r>
    </w:p>
    <w:p>
      <w:pPr>
        <w:pStyle w:val="2"/>
        <w:ind w:left="2013" w:right="1937" w:hanging="10"/>
        <w:rPr/>
      </w:pPr>
      <w:r>
        <w:rPr/>
        <w:t>92902, Луганська область, м. Кремінна,</w:t>
      </w:r>
      <w:r>
        <w:rPr>
          <w:u w:val="none"/>
        </w:rPr>
        <w:t xml:space="preserve">  </w:t>
      </w:r>
      <w:r>
        <w:rPr/>
        <w:t>вул. Хвойна, 1 тел. 0955150555</w:t>
      </w:r>
      <w:r>
        <w:rPr>
          <w:u w:val="none"/>
        </w:rPr>
        <w:t xml:space="preserve"> </w:t>
      </w:r>
    </w:p>
    <w:p>
      <w:pPr>
        <w:pStyle w:val="Normal"/>
        <w:spacing w:lineRule="auto" w:line="264" w:before="0" w:after="4"/>
        <w:ind w:left="151" w:right="186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місцезнаходження юридичної особи або місце провадження діяльності фізичної особи - підприємця  </w:t>
      </w:r>
    </w:p>
    <w:p>
      <w:pPr>
        <w:pStyle w:val="Normal"/>
        <w:spacing w:lineRule="auto" w:line="264" w:before="0" w:after="176"/>
        <w:ind w:left="151" w:right="193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(поштовий індекс, адреса), контактний номер телефону) </w:t>
      </w:r>
    </w:p>
    <w:p>
      <w:pPr>
        <w:pStyle w:val="Normal"/>
        <w:spacing w:lineRule="auto" w:line="252" w:before="0" w:after="154"/>
        <w:ind w:left="365" w:right="43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3. Уповноважений орган, який забезпечує проведення громадського обговорення </w:t>
      </w:r>
    </w:p>
    <w:p>
      <w:pPr>
        <w:pStyle w:val="2"/>
        <w:ind w:left="12" w:right="50" w:hanging="10"/>
        <w:rPr/>
      </w:pPr>
      <w:r>
        <w:rPr/>
        <w:t>Міністерство захисту довкілля та природних ресурсів України,</w:t>
      </w:r>
      <w:r>
        <w:rPr>
          <w:u w:val="none"/>
        </w:rPr>
        <w:t xml:space="preserve"> </w:t>
      </w:r>
      <w:r>
        <w:rPr>
          <w:sz w:val="20"/>
          <w:u w:val="none"/>
        </w:rPr>
        <w:t xml:space="preserve"> </w:t>
      </w:r>
    </w:p>
    <w:p>
      <w:pPr>
        <w:pStyle w:val="Normal"/>
        <w:spacing w:lineRule="auto" w:line="264" w:before="0" w:after="11"/>
        <w:ind w:left="41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(найменування уповноваженого органу, місцезнаходження, номер телефону та контактна особа) </w:t>
      </w:r>
    </w:p>
    <w:p>
      <w:pPr>
        <w:pStyle w:val="Normal"/>
        <w:spacing w:lineRule="auto" w:line="271" w:before="0" w:after="3"/>
        <w:ind w:left="12" w:right="2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03035 м. Київ, вул. Митрополита Василя Липківського, 35, Департамент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екологічної оцінки та контролю, тел./факс. (044) 206-31-15, 206-31-64 e-mail: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2"/>
        <w:spacing w:before="0" w:after="243"/>
        <w:ind w:left="12" w:right="2" w:hanging="10"/>
        <w:rPr/>
      </w:pPr>
      <w:r>
        <w:rPr/>
        <w:t>OVD@mepr.gov.ua, контактна особа: Тіщенкова Марина Олегівна, директор</w:t>
      </w:r>
      <w:r>
        <w:rPr>
          <w:u w:val="none"/>
        </w:rPr>
        <w:t xml:space="preserve"> </w:t>
      </w:r>
      <w:r>
        <w:rPr/>
        <w:t>Департаменту екологічної оцінки та контролю</w:t>
      </w:r>
      <w:r>
        <w:rPr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97"/>
        <w:ind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Процедура прийняття рішення про провадження планованої діяльності та орган, який розглядатиме результати оцінки впливу на довкілля </w:t>
      </w:r>
    </w:p>
    <w:p>
      <w:pPr>
        <w:pStyle w:val="Normal"/>
        <w:spacing w:lineRule="auto" w:line="31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Відповідно до законодавства рішенням про провадження планованої діяльності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будуть спеціальні дозволи на використання лісових ресурсів – лісорубні квитки, </w:t>
      </w:r>
    </w:p>
    <w:p>
      <w:pPr>
        <w:pStyle w:val="Normal"/>
        <w:spacing w:before="0" w:after="115"/>
        <w:ind w:right="183" w:hanging="0"/>
        <w:jc w:val="right"/>
        <w:rPr/>
      </w:pPr>
      <w:r>
        <w:rPr>
          <w:rFonts w:eastAsia="Times New Roman" w:cs="Times New Roman" w:ascii="Times New Roman" w:hAnsi="Times New Roman"/>
          <w:sz w:val="18"/>
        </w:rPr>
        <w:t xml:space="preserve">   </w:t>
      </w:r>
      <w:r>
        <w:rPr>
          <w:rFonts w:eastAsia="Times New Roman" w:cs="Times New Roman" w:ascii="Times New Roman" w:hAnsi="Times New Roman"/>
          <w:sz w:val="18"/>
        </w:rPr>
        <w:t xml:space="preserve">(вид рішення відповідно до частини першої статті 11 Закону України “Про оцінку впливу на довкілля”) </w:t>
      </w:r>
    </w:p>
    <w:p>
      <w:pPr>
        <w:pStyle w:val="Normal"/>
        <w:spacing w:lineRule="auto" w:line="31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я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кі видаються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Державним підприємство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м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«Кремінське лісомисливське господарство»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на підставі наданих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Луганським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 xml:space="preserve"> обласним управлінням лісового та мисливського господарства Пропозицій щодо проведення суцільних санітарних рубок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u w:val="single" w:color="000000"/>
        </w:rPr>
        <w:t>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05"/>
        <w:ind w:left="2300" w:hanging="0"/>
        <w:rPr/>
      </w:pPr>
      <w:r>
        <w:rPr>
          <w:rFonts w:eastAsia="Times New Roman" w:cs="Times New Roman" w:ascii="Times New Roman" w:hAnsi="Times New Roman"/>
          <w:sz w:val="18"/>
        </w:rPr>
        <w:t>(орган, до повноважень якого належить прийняття такого рішення)</w:t>
      </w:r>
      <w:r>
        <w:rPr>
          <w:rFonts w:eastAsia="Times New Roman" w:cs="Times New Roman" w:ascii="Times New Roman" w:hAnsi="Times New Roman"/>
          <w:sz w:val="26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23"/>
        <w:ind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 </w:t>
      </w:r>
    </w:p>
    <w:p>
      <w:pPr>
        <w:pStyle w:val="Normal"/>
        <w:spacing w:lineRule="auto" w:line="25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Тривалість громадського обговорення становить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25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 робочих днів (не менше 25,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але не більше 35 робочих днів) з моменту офіційного опублікування цього оголошення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(зазначається у назві оголошення) та надання громадськості доступу до звіту з оцінки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впливу на довкілля та іншої додаткової інформації, визначеної суб’єктом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господарювання, що передається для видачі висновку з оцінки впливу на довкілля.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Протягом усього строку громадського обговорення громадськість має право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подавати будь-які зауваження або пропозиції, які, на її думку, стосуються планованої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діяльності, без необхідності їх обґрунтування. Зауваження та пропозиції можуть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подаватися в письмовій формі (у тому числі в електронному вигляді) та усно під час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громадських слухань із внесенням до протоколу громадських слухань. Пропозиції,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надані після встановленого строку, не розглядаються.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2" w:before="0" w:after="3"/>
        <w:ind w:left="-10" w:right="38" w:firstLine="698"/>
        <w:jc w:val="both"/>
        <w:rPr/>
      </w:pPr>
      <w:r>
        <w:rPr>
          <w:rFonts w:eastAsia="Times New Roman" w:cs="Times New Roman" w:ascii="Times New Roman" w:hAnsi="Times New Roman"/>
          <w:sz w:val="24"/>
          <w:u w:val="single" w:color="000000"/>
        </w:rPr>
        <w:t>Тимчасово, на період дії та в межах території карантину, встановленого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Кабінетом Міністрів України з метою запобігання поширенню на території України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гострої респіраторної хвороби (СОVID-19), спричиненої коронавірусом SARS-CoV-2,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до повного його скасування та протягом 30 днів з дня скасування карантину,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громадські слухання не проводяться і не призначаються на дати, що припадають на цей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період.</w:t>
      </w:r>
      <w:r>
        <w:rPr>
          <w:rFonts w:eastAsia="Times New Roman" w:cs="Times New Roman" w:ascii="Times New Roman" w:hAnsi="Times New Roman"/>
          <w:sz w:val="24"/>
        </w:rPr>
        <w:t xml:space="preserve">  </w:t>
      </w:r>
    </w:p>
    <w:p>
      <w:pPr>
        <w:pStyle w:val="Normal"/>
        <w:spacing w:lineRule="auto" w:line="276" w:before="0" w:after="0"/>
        <w:ind w:left="-15" w:firstLine="566"/>
        <w:rPr/>
      </w:pPr>
      <w:r>
        <w:rPr>
          <w:rFonts w:eastAsia="Times New Roman" w:cs="Times New Roman" w:ascii="Times New Roman" w:hAnsi="Times New Roman"/>
          <w:sz w:val="24"/>
        </w:rPr>
        <w:t xml:space="preserve">Громадські слухання (перші) відбудуться – </w:t>
      </w:r>
      <w:r>
        <w:rPr>
          <w:rFonts w:eastAsia="Times New Roman" w:cs="Times New Roman" w:ascii="Times New Roman" w:hAnsi="Times New Roman"/>
          <w:b/>
          <w:sz w:val="24"/>
        </w:rPr>
        <w:t>дату, час, місце та адресу проведення громадських слухань не визначено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</w:p>
    <w:p>
      <w:pPr>
        <w:pStyle w:val="Normal"/>
        <w:spacing w:before="0" w:after="176"/>
        <w:ind w:right="53" w:hanging="0"/>
        <w:jc w:val="center"/>
        <w:rPr/>
      </w:pPr>
      <w:r>
        <w:rPr>
          <w:rFonts w:eastAsia="Times New Roman" w:cs="Times New Roman" w:ascii="Times New Roman" w:hAnsi="Times New Roman"/>
          <w:sz w:val="16"/>
        </w:rPr>
        <w:t xml:space="preserve">(зазначити дату, час, місце та адресу проведення громадських слухань) </w:t>
      </w:r>
    </w:p>
    <w:p>
      <w:pPr>
        <w:pStyle w:val="Normal"/>
        <w:spacing w:lineRule="auto" w:line="252" w:before="0" w:after="23"/>
        <w:ind w:left="-15" w:right="43" w:firstLine="427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6. Уповноважений центральний орган або уповноважений територіальний орган, що забезпечує доступ до звіту з оцінки впливу на довкілля та іншої доступної інформації щодо планованої діяльності </w:t>
      </w:r>
    </w:p>
    <w:p>
      <w:pPr>
        <w:pStyle w:val="2"/>
        <w:ind w:left="12" w:right="50" w:hanging="10"/>
        <w:rPr/>
      </w:pPr>
      <w:r>
        <w:rPr/>
        <w:t>Міністерство захисту довкілля та природних ресурсів України,</w:t>
      </w:r>
      <w:r>
        <w:rPr>
          <w:u w:val="none"/>
        </w:rPr>
        <w:t xml:space="preserve"> </w:t>
      </w:r>
      <w:r>
        <w:rPr>
          <w:sz w:val="20"/>
          <w:u w:val="none"/>
        </w:rPr>
        <w:t xml:space="preserve"> </w:t>
      </w:r>
    </w:p>
    <w:p>
      <w:pPr>
        <w:pStyle w:val="Normal"/>
        <w:spacing w:lineRule="auto" w:line="302" w:before="0" w:after="0"/>
        <w:ind w:left="412" w:right="338" w:hanging="17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(найменування уповноваженого органу, місцезнаходження, номер телефону та контактна особа)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03035 м. Київ, вул. Митрополита Василя Липківського, 35, Департамент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екологічної оцінки та контролю, тел./факс. (044) 206-31-15, 206-31-64 e-mail: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2"/>
        <w:spacing w:before="0" w:after="127"/>
        <w:ind w:left="12" w:right="58" w:hanging="10"/>
        <w:rPr/>
      </w:pPr>
      <w:r>
        <w:rPr/>
        <w:t>OVD@mepr.gov.ua, контактна особа: Тіщенкова Марина Олегівна, директор</w:t>
      </w:r>
      <w:r>
        <w:rPr>
          <w:u w:val="none"/>
        </w:rPr>
        <w:t xml:space="preserve"> </w:t>
      </w:r>
      <w:r>
        <w:rPr/>
        <w:t>Департаменту екологічної оцінки та контролю</w:t>
      </w:r>
      <w:r>
        <w:rPr>
          <w:u w:val="none"/>
        </w:rPr>
        <w:t xml:space="preserve"> </w:t>
      </w:r>
    </w:p>
    <w:p>
      <w:pPr>
        <w:pStyle w:val="Normal"/>
        <w:spacing w:lineRule="auto" w:line="252" w:before="0" w:after="23"/>
        <w:ind w:left="-15"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7. Уповноважений центральний орган або уповноважений територіальний орган, до якого надаються зауваження і пропозиції, та строки надання зауважень і пропозицій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Міністерство захисту довкілля та природних ресурсів України,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302" w:before="0" w:after="0"/>
        <w:ind w:left="412" w:right="338" w:hanging="17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(найменування уповноваженого органу, місцезнаходження, номер телефону та контактна особа)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03035 м. Київ, вул. Митрополита Василя Липківського, 35, Департамент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u w:val="single" w:color="000000"/>
        </w:rPr>
        <w:t>екологічної оцінки та контролю, тел./факс. (044) 206-31-15, 206-31-64 e-mail: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2"/>
        <w:spacing w:before="0" w:after="79"/>
        <w:ind w:left="12" w:right="58" w:hanging="10"/>
        <w:rPr/>
      </w:pPr>
      <w:r>
        <w:rPr/>
        <w:t>OVD@mepr.gov.ua, контактна особа: Тіщенкова Марина Олегівна, директор</w:t>
      </w:r>
      <w:r>
        <w:rPr>
          <w:u w:val="none"/>
        </w:rPr>
        <w:t xml:space="preserve"> </w:t>
      </w:r>
      <w:r>
        <w:rPr/>
        <w:t>Департаменту екологічної оцінки та контролю</w:t>
      </w:r>
      <w:r>
        <w:rPr>
          <w:u w:val="none"/>
        </w:rPr>
        <w:t xml:space="preserve"> </w:t>
      </w:r>
    </w:p>
    <w:p>
      <w:pPr>
        <w:pStyle w:val="Normal"/>
        <w:spacing w:lineRule="auto" w:line="331" w:before="0" w:after="0"/>
        <w:ind w:left="-15"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Зауваження і пропозиції приймаються протягом усього строку громадського обговорення, зазначеного в абзаці другому пункту 5 цього оголошення. </w:t>
        <w:tab/>
        <w:tab/>
        <w:tab/>
        <w:t xml:space="preserve">        8. Наявна екологічна інформація щодо планованої діяльності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>Звіт з оцінки впливу на довкілля планованої діяльності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(зазначити усі інші матеріали, надані на розгляд громадськості) </w:t>
      </w:r>
    </w:p>
    <w:p>
      <w:pPr>
        <w:pStyle w:val="3"/>
        <w:rPr/>
      </w:pPr>
      <w:r>
        <w:rPr>
          <w:b/>
          <w:bCs/>
          <w:sz w:val="24"/>
          <w:szCs w:val="24"/>
          <w:u w:val="none"/>
        </w:rPr>
        <w:tab/>
        <w:tab/>
      </w:r>
      <w:r>
        <w:rPr>
          <w:b/>
          <w:bCs/>
          <w:sz w:val="24"/>
          <w:szCs w:val="24"/>
        </w:rPr>
        <w:t xml:space="preserve">Акт про лісову пожежу </w:t>
      </w:r>
      <w:r>
        <w:rPr>
          <w:b/>
          <w:bCs/>
          <w:sz w:val="24"/>
          <w:szCs w:val="24"/>
          <w:lang w:val="uk-UA"/>
        </w:rPr>
        <w:t>№62/03 від 16 жовтня 2020 року</w:t>
      </w:r>
    </w:p>
    <w:p>
      <w:pPr>
        <w:pStyle w:val="Normal"/>
        <w:spacing w:lineRule="auto" w:line="264" w:before="0" w:after="129"/>
        <w:ind w:left="151" w:right="197" w:hanging="1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(зазначити іншу екологічну інформацію, що стосується планованої діяльності) </w:t>
      </w:r>
    </w:p>
    <w:p>
      <w:pPr>
        <w:pStyle w:val="Normal"/>
        <w:spacing w:lineRule="auto" w:line="252" w:before="0" w:after="23"/>
        <w:ind w:left="-15" w:right="43" w:firstLine="556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9. Місце розміщення звіту з оцінки впливу на довкілля та іншої додаткової інформації (відмінне від приміщення, зазначеного у пункті 6 цього оголошення), а також час, з якого громадськість може ознайомитися з ними: </w:t>
      </w:r>
    </w:p>
    <w:p>
      <w:pPr>
        <w:pStyle w:val="Normal"/>
        <w:numPr>
          <w:ilvl w:val="0"/>
          <w:numId w:val="2"/>
        </w:numPr>
        <w:spacing w:before="0" w:after="22"/>
        <w:ind w:right="38" w:hanging="0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>Сєвєродонецька районна державна адміністрація,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>вул Банкова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, 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1 м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, 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>Кремін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>на,</w:t>
      </w:r>
      <w:r>
        <w:rPr>
          <w:rFonts w:eastAsia="Times New Roman" w:cs="Times New Roman" w:ascii="Times New Roman" w:hAnsi="Times New Roman"/>
          <w:color w:val="222222"/>
          <w:sz w:val="24"/>
        </w:rPr>
        <w:t xml:space="preserve"> </w:t>
      </w:r>
    </w:p>
    <w:p>
      <w:pPr>
        <w:pStyle w:val="Normal"/>
        <w:spacing w:lineRule="auto" w:line="276" w:before="0" w:after="0"/>
        <w:ind w:right="322" w:hanging="0"/>
        <w:rPr/>
      </w:pP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Луганська область, 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9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2900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, години роботи з 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8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.00 до 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1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7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  <w:lang w:val="uk-UA"/>
        </w:rPr>
        <w:t>.00</w:t>
      </w:r>
      <w:r>
        <w:rPr>
          <w:rFonts w:eastAsia="Times New Roman" w:cs="Times New Roman" w:ascii="Times New Roman" w:hAnsi="Times New Roman"/>
          <w:color w:val="222222"/>
          <w:sz w:val="24"/>
          <w:u w:val="single" w:color="222222"/>
        </w:rPr>
        <w:t xml:space="preserve"> год</w:t>
      </w:r>
      <w:r>
        <w:rPr>
          <w:rFonts w:eastAsia="Times New Roman" w:cs="Times New Roman" w:ascii="Times New Roman" w:hAnsi="Times New Roman"/>
          <w:sz w:val="24"/>
          <w:u w:val="single" w:color="222222"/>
        </w:rPr>
        <w:t>, окрім вихідних</w:t>
      </w:r>
      <w:r>
        <w:rPr>
          <w:rFonts w:eastAsia="Times New Roman" w:cs="Times New Roman" w:ascii="Times New Roman" w:hAnsi="Times New Roman"/>
          <w:sz w:val="24"/>
          <w:u w:val="single" w:color="222222"/>
        </w:rPr>
        <w:t xml:space="preserve">  </w:t>
      </w:r>
      <w:r>
        <w:rPr>
          <w:rFonts w:eastAsia="Times New Roman" w:cs="Times New Roman" w:ascii="Times New Roman" w:hAnsi="Times New Roman"/>
          <w:sz w:val="24"/>
          <w:u w:val="single" w:color="000000"/>
        </w:rPr>
        <w:t xml:space="preserve">починаючи з </w:t>
      </w:r>
      <w:r>
        <w:rPr>
          <w:rFonts w:eastAsia="Times New Roman" w:cs="Times New Roman" w:ascii="Times New Roman" w:hAnsi="Times New Roman"/>
          <w:sz w:val="24"/>
          <w:u w:val="single" w:color="000000"/>
          <w:lang w:val="uk-UA"/>
        </w:rPr>
        <w:t>12 жовтня 2021 року. Контактна  особа Драньова Ірина Анатоліївна .</w:t>
      </w:r>
    </w:p>
    <w:p>
      <w:pPr>
        <w:pStyle w:val="Normal"/>
        <w:spacing w:before="0" w:after="14"/>
        <w:rPr/>
      </w:pPr>
      <w:r>
        <w:rPr>
          <w:rFonts w:eastAsia="Times New Roman" w:cs="Times New Roman" w:ascii="Times New Roman" w:hAnsi="Times New Roman"/>
          <w:color w:val="222222"/>
          <w:sz w:val="24"/>
        </w:rPr>
        <w:t xml:space="preserve"> </w:t>
      </w:r>
    </w:p>
    <w:p>
      <w:pPr>
        <w:pStyle w:val="Normal"/>
        <w:spacing w:lineRule="auto" w:line="252" w:before="0" w:after="3"/>
        <w:ind w:left="-10" w:right="38" w:hanging="0"/>
        <w:jc w:val="both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pacing w:lineRule="auto" w:line="264" w:before="0" w:after="4"/>
        <w:ind w:left="151" w:right="87" w:hanging="10"/>
        <w:jc w:val="center"/>
        <w:rPr>
          <w:rFonts w:ascii="Times New Roman" w:hAnsi="Times New Roman" w:eastAsia="Times New Roman" w:cs="Times New Roman"/>
          <w:sz w:val="20"/>
        </w:rPr>
      </w:pPr>
      <w:r>
        <w:rPr/>
      </w:r>
    </w:p>
    <w:sectPr>
      <w:type w:val="nextPage"/>
      <w:pgSz w:w="11906" w:h="16838"/>
      <w:pgMar w:left="1702" w:right="1082" w:header="0" w:top="1184" w:footer="0" w:bottom="102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6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3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0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5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9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6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2222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unhideWhenUsed/>
    <w:qFormat/>
    <w:pPr>
      <w:keepNext w:val="true"/>
      <w:keepLines/>
      <w:widowControl/>
      <w:bidi w:val="0"/>
      <w:spacing w:before="0" w:after="26"/>
      <w:ind w:right="47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2">
    <w:name w:val="Heading 2"/>
    <w:basedOn w:val="Normal"/>
    <w:link w:val="20"/>
    <w:uiPriority w:val="9"/>
    <w:unhideWhenUsed/>
    <w:qFormat/>
    <w:pPr>
      <w:keepNext w:val="true"/>
      <w:keepLines/>
      <w:widowControl/>
      <w:bidi w:val="0"/>
      <w:spacing w:lineRule="auto" w:line="271" w:before="0" w:after="3"/>
      <w:ind w:left="12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paragraph" w:styleId="3">
    <w:name w:val="Heading 3"/>
    <w:basedOn w:val="Normal"/>
    <w:link w:val="30"/>
    <w:uiPriority w:val="9"/>
    <w:unhideWhenUsed/>
    <w:qFormat/>
    <w:pPr>
      <w:keepNext w:val="true"/>
      <w:keepLines/>
      <w:widowControl/>
      <w:bidi w:val="0"/>
      <w:spacing w:before="0" w:after="20"/>
      <w:jc w:val="left"/>
      <w:outlineLvl w:val="2"/>
    </w:pPr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qFormat/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0">
    <w:name w:val="ListLabel 30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1">
    <w:name w:val="ListLabel 31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2">
    <w:name w:val="ListLabel 32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">
    <w:name w:val="ListLabel 46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47">
    <w:name w:val="ListLabel 47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48">
    <w:name w:val="ListLabel 48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49">
    <w:name w:val="ListLabel 49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0">
    <w:name w:val="ListLabel 50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1">
    <w:name w:val="ListLabel 51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2">
    <w:name w:val="ListLabel 52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3">
    <w:name w:val="ListLabel 53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4">
    <w:name w:val="ListLabel 54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">
    <w:name w:val="ListLabel 64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65">
    <w:name w:val="ListLabel 65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66">
    <w:name w:val="ListLabel 66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67">
    <w:name w:val="ListLabel 67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68">
    <w:name w:val="ListLabel 68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69">
    <w:name w:val="ListLabel 69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70">
    <w:name w:val="ListLabel 70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71">
    <w:name w:val="ListLabel 71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character" w:styleId="ListLabel72">
    <w:name w:val="ListLabel 72"/>
    <w:qFormat/>
    <w:rPr>
      <w:rFonts w:cs="Times New Roman"/>
      <w:b w:val="false"/>
      <w:i w:val="false"/>
      <w:strike w:val="false"/>
      <w:dstrike w:val="false"/>
      <w:color w:val="222222"/>
      <w:position w:val="0"/>
      <w:sz w:val="24"/>
      <w:sz w:val="24"/>
      <w:szCs w:val="24"/>
      <w:u w:val="none" w:color="000000"/>
      <w:vertAlign w:val="baseli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LibreOffice/6.0.5.2$Windows_X86_64 LibreOffice_project/54c8cbb85f300ac59db32fe8a675ff7683cd5a16</Application>
  <Pages>3</Pages>
  <Words>895</Words>
  <Characters>6426</Characters>
  <CharactersWithSpaces>7353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2021-09-23T14:00:00Z</dcterms:created>
  <dc:creator>Прохоренко</dc:creator>
  <dc:description/>
  <dc:language>ru-RU</dc:language>
  <cp:lastModifiedBy/>
  <dcterms:modified xsi:type="dcterms:W3CDTF">2021-10-12T14:43:28Z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