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1F1972" w:rsidRDefault="00F260AC" w:rsidP="00F260AC">
      <w:pPr>
        <w:pStyle w:val="141Ch6"/>
        <w:ind w:left="861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1F197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26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2014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836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07 серпня 2019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336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)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F260AC" w:rsidRDefault="00F260AC" w:rsidP="00F260AC">
      <w:pPr>
        <w:pStyle w:val="Ch6"/>
        <w:spacing w:before="340" w:after="17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паспорта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446615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="00B250E1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6C2F0B" w:rsidRPr="00056D1F" w:rsidRDefault="006C2F0B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1.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100000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="00B250E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B250E1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(найменування головного розпорядника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)                           </w:t>
      </w:r>
      <w:r w:rsidR="00B250E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         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 w:rsidRPr="004947A3">
        <w:rPr>
          <w:rFonts w:ascii="Times New Roman" w:hAnsi="Times New Roman" w:cs="Times New Roman"/>
          <w:w w:val="1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="00B250E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Відділ </w:t>
      </w:r>
      <w:r w:rsidR="00B250E1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культури</w:t>
      </w:r>
      <w:r w:rsidR="00B250E1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="00B250E1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Попаснянської районної державної адміністрації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</w:t>
      </w:r>
      <w:r w:rsidR="00B250E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3.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14082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0829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w w:val="100"/>
          <w:sz w:val="22"/>
          <w:szCs w:val="22"/>
          <w:u w:val="single"/>
        </w:rPr>
        <w:t>Інші заходи в галузі культури і мистецтва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</w:t>
      </w:r>
      <w:r w:rsidR="00B250E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w w:val="100"/>
          <w:sz w:val="22"/>
          <w:szCs w:val="22"/>
          <w:u w:val="single"/>
        </w:rPr>
        <w:t>12312301000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(КФКВК)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</w:t>
      </w:r>
      <w:r w:rsidR="00B250E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бюджету)</w:t>
      </w:r>
    </w:p>
    <w:p w:rsidR="00056D1F" w:rsidRDefault="006516DC" w:rsidP="00056D1F">
      <w:pPr>
        <w:pStyle w:val="Ch6"/>
        <w:spacing w:before="340" w:after="0"/>
        <w:jc w:val="left"/>
        <w:rPr>
          <w:rFonts w:ascii="Times New Roman" w:hAnsi="Times New Roman" w:cs="Times New Roman"/>
          <w:sz w:val="24"/>
          <w:szCs w:val="24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.   </w:t>
      </w:r>
      <w:r w:rsidRPr="006516DC">
        <w:rPr>
          <w:rFonts w:ascii="Times New Roman" w:hAnsi="Times New Roman" w:cs="Times New Roman"/>
          <w:sz w:val="24"/>
          <w:szCs w:val="24"/>
        </w:rPr>
        <w:t>Цілі державної політики, на досягнення яких спрямована реалізація бюджетної програми</w:t>
      </w:r>
    </w:p>
    <w:tbl>
      <w:tblPr>
        <w:tblW w:w="1501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3589"/>
      </w:tblGrid>
      <w:tr w:rsidR="006516DC" w:rsidRPr="006516DC" w:rsidTr="004947A3">
        <w:trPr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6516DC" w:rsidRPr="006516DC" w:rsidTr="006516DC">
        <w:trPr>
          <w:trHeight w:val="655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516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рограма спрямована на скоординовану організацію та проведення заходів, своєчасну підготовку розпорядчих документів стосовно відповідальних за виконання, фінансування витрат, ушанування громадян, представлених до нагородження тощо</w:t>
            </w: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70A5B" w:rsidRDefault="00970A5B" w:rsidP="00970A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70A5B" w:rsidRPr="00970A5B" w:rsidRDefault="006516DC" w:rsidP="00970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7A3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="00970A5B" w:rsidRPr="00970A5B">
        <w:rPr>
          <w:rFonts w:ascii="Times New Roman" w:hAnsi="Times New Roman"/>
          <w:b/>
          <w:sz w:val="24"/>
          <w:szCs w:val="24"/>
          <w:lang w:eastAsia="ru-RU"/>
        </w:rPr>
        <w:t>Мета бюджетної програми</w:t>
      </w:r>
      <w:r w:rsidR="00970A5B" w:rsidRPr="00970A5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0A5B" w:rsidRPr="00970A5B">
        <w:rPr>
          <w:rFonts w:ascii="Times New Roman" w:hAnsi="Times New Roman"/>
          <w:bCs/>
          <w:sz w:val="24"/>
          <w:szCs w:val="24"/>
          <w:lang w:eastAsia="ru-RU"/>
        </w:rPr>
        <w:t xml:space="preserve"> Постійне впровадження традицій української державності на території Попаснянського району – в місцевих радах, населених пунктах, трудових колективах підприємств, установ, організацій – урочисте відзначення державних, професійних свят, визначних дат та інше, вшанування кращих громадян з нагоди цих заходів.</w:t>
      </w:r>
    </w:p>
    <w:tbl>
      <w:tblPr>
        <w:tblW w:w="151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2"/>
        <w:gridCol w:w="44"/>
        <w:gridCol w:w="13627"/>
        <w:gridCol w:w="97"/>
      </w:tblGrid>
      <w:tr w:rsidR="00970A5B" w:rsidRPr="00970A5B" w:rsidTr="00970A5B">
        <w:trPr>
          <w:gridBefore w:val="1"/>
          <w:gridAfter w:val="1"/>
          <w:wAfter w:w="107" w:type="pct"/>
          <w:trHeight w:val="358"/>
          <w:tblCellSpacing w:w="22" w:type="dxa"/>
          <w:jc w:val="center"/>
        </w:trPr>
        <w:tc>
          <w:tcPr>
            <w:tcW w:w="4851" w:type="pct"/>
            <w:gridSpan w:val="2"/>
            <w:hideMark/>
          </w:tcPr>
          <w:p w:rsidR="00970A5B" w:rsidRPr="00970A5B" w:rsidRDefault="00970A5B" w:rsidP="00970A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7A3">
              <w:rPr>
                <w:rFonts w:ascii="Times New Roman" w:hAnsi="Times New Roman"/>
                <w:lang w:eastAsia="ru-RU"/>
              </w:rPr>
              <w:t xml:space="preserve">  </w:t>
            </w:r>
            <w:r w:rsidRPr="004947A3">
              <w:rPr>
                <w:rFonts w:ascii="Times New Roman" w:hAnsi="Times New Roman"/>
                <w:b/>
                <w:lang w:eastAsia="ru-RU"/>
              </w:rPr>
              <w:t>6</w:t>
            </w:r>
            <w:r w:rsidRPr="00970A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Завдання бюджетної програми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45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90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організації  проведення районних культурно-масових заходів,  гідного відзначення державних свят на території району та проведення  міжнародних, державних, пам’ятних дат та визначних ювілеїв.</w:t>
            </w:r>
          </w:p>
        </w:tc>
      </w:tr>
    </w:tbl>
    <w:p w:rsidR="004947A3" w:rsidRDefault="004947A3" w:rsidP="00F260AC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:rsidR="004C2BC4" w:rsidRPr="001F1972" w:rsidRDefault="004C2BC4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lastRenderedPageBreak/>
        <w:t>7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. 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Видатки (надані кредити з бюджету) та н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апрями використання бюджетних коштів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за бюджетною програмою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6"/>
        <w:gridCol w:w="1352"/>
        <w:gridCol w:w="1366"/>
        <w:gridCol w:w="1276"/>
        <w:gridCol w:w="1276"/>
        <w:gridCol w:w="1417"/>
        <w:gridCol w:w="1230"/>
        <w:gridCol w:w="1260"/>
        <w:gridCol w:w="1054"/>
        <w:gridCol w:w="1286"/>
      </w:tblGrid>
      <w:tr w:rsidR="00F260AC" w:rsidRPr="00485F2D" w:rsidTr="00FA24E1">
        <w:trPr>
          <w:trHeight w:val="60"/>
        </w:trPr>
        <w:tc>
          <w:tcPr>
            <w:tcW w:w="534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3994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</w:tr>
      <w:tr w:rsidR="00C818C1" w:rsidRPr="00485F2D" w:rsidTr="00C818C1">
        <w:trPr>
          <w:trHeight w:val="377"/>
        </w:trPr>
        <w:tc>
          <w:tcPr>
            <w:tcW w:w="534" w:type="dxa"/>
            <w:shd w:val="clear" w:color="auto" w:fill="auto"/>
          </w:tcPr>
          <w:p w:rsidR="00C818C1" w:rsidRPr="00485F2D" w:rsidRDefault="00C818C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C818C1" w:rsidRPr="00485F2D" w:rsidRDefault="00C818C1" w:rsidP="00FA24E1">
            <w:pPr>
              <w:pStyle w:val="a6"/>
              <w:spacing w:after="160" w:line="240" w:lineRule="auto"/>
              <w:ind w:right="-133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Проведення заходів</w:t>
            </w:r>
          </w:p>
        </w:tc>
        <w:tc>
          <w:tcPr>
            <w:tcW w:w="1352" w:type="dxa"/>
            <w:shd w:val="clear" w:color="auto" w:fill="auto"/>
          </w:tcPr>
          <w:p w:rsidR="00C818C1" w:rsidRPr="00485F2D" w:rsidRDefault="00B250E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366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B250E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B250E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417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C818C1" w:rsidRPr="00485F2D" w:rsidRDefault="00B250E1" w:rsidP="00B250E1">
            <w:pPr>
              <w:pStyle w:val="a6"/>
              <w:spacing w:after="160" w:line="240" w:lineRule="auto"/>
              <w:ind w:right="-154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260" w:type="dxa"/>
            <w:shd w:val="clear" w:color="auto" w:fill="auto"/>
          </w:tcPr>
          <w:p w:rsidR="00C818C1" w:rsidRPr="00485F2D" w:rsidRDefault="00B250E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  <w:tc>
          <w:tcPr>
            <w:tcW w:w="1054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C818C1" w:rsidRPr="00485F2D" w:rsidRDefault="00B250E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</w:tr>
      <w:tr w:rsidR="00B250E1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B250E1" w:rsidRPr="00485F2D" w:rsidRDefault="00B250E1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B250E1" w:rsidRPr="00485F2D" w:rsidRDefault="00B250E1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352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366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276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417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ind w:right="-154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260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  <w:tc>
          <w:tcPr>
            <w:tcW w:w="1054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</w:tr>
      <w:tr w:rsidR="00F260AC" w:rsidRPr="00485F2D" w:rsidTr="00485F2D">
        <w:trPr>
          <w:trHeight w:val="60"/>
        </w:trPr>
        <w:tc>
          <w:tcPr>
            <w:tcW w:w="14577" w:type="dxa"/>
            <w:gridSpan w:val="11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B250E1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B250E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51966,50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економія по придбанню подяк, кві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тів, вітальних карток</w:t>
            </w:r>
            <w:r w:rsidR="00B70EE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медалей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 бензину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F260AC" w:rsidRPr="001F1972" w:rsidRDefault="00F260AC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8</w:t>
      </w:r>
      <w:r w:rsidR="00F260AC"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  <w:r w:rsidR="00F260A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Видатки (надані кредити) на реалізацію місцевих/регіональних програм, які виконуються в межах бюджетної програми: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317"/>
        <w:gridCol w:w="1203"/>
        <w:gridCol w:w="1260"/>
        <w:gridCol w:w="1222"/>
        <w:gridCol w:w="1276"/>
        <w:gridCol w:w="1282"/>
        <w:gridCol w:w="1440"/>
        <w:gridCol w:w="1260"/>
      </w:tblGrid>
      <w:tr w:rsidR="00F260AC" w:rsidRPr="00485F2D" w:rsidTr="00B250E1">
        <w:trPr>
          <w:trHeight w:val="60"/>
        </w:trPr>
        <w:tc>
          <w:tcPr>
            <w:tcW w:w="3060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регіональної програми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758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Касові видатки (надані кредити) </w:t>
            </w:r>
          </w:p>
        </w:tc>
        <w:tc>
          <w:tcPr>
            <w:tcW w:w="3982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B250E1">
        <w:trPr>
          <w:trHeight w:val="60"/>
        </w:trPr>
        <w:tc>
          <w:tcPr>
            <w:tcW w:w="3060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8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B250E1">
        <w:trPr>
          <w:trHeight w:val="60"/>
        </w:trPr>
        <w:tc>
          <w:tcPr>
            <w:tcW w:w="30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8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B70EE2" w:rsidRPr="00485F2D" w:rsidTr="00B250E1">
        <w:trPr>
          <w:trHeight w:val="60"/>
        </w:trPr>
        <w:tc>
          <w:tcPr>
            <w:tcW w:w="3060" w:type="dxa"/>
            <w:shd w:val="clear" w:color="auto" w:fill="auto"/>
          </w:tcPr>
          <w:p w:rsidR="00B70EE2" w:rsidRPr="00485F2D" w:rsidRDefault="00B70EE2" w:rsidP="004C2BC4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 w:rsidRPr="00C818C1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Pr="00B250E1">
              <w:rPr>
                <w:sz w:val="22"/>
                <w:szCs w:val="22"/>
                <w:lang w:val="ru-RU"/>
              </w:rPr>
              <w:t>Програма проведення районних культурно-масових заходів на 2019 -2021 роки. Розпорядження голови РДА  від 28.11.2018</w:t>
            </w:r>
            <w:r w:rsidRPr="00B70EE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року </w:t>
            </w:r>
            <w:r w:rsidRPr="00B70EE2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Pr="00B70EE2">
              <w:rPr>
                <w:lang w:val="ru-RU"/>
              </w:rPr>
              <w:t>2280</w:t>
            </w:r>
          </w:p>
        </w:tc>
        <w:tc>
          <w:tcPr>
            <w:tcW w:w="1260" w:type="dxa"/>
            <w:shd w:val="clear" w:color="auto" w:fill="auto"/>
          </w:tcPr>
          <w:p w:rsidR="00B70EE2" w:rsidRPr="00485F2D" w:rsidRDefault="00B250E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284640</w:t>
            </w:r>
            <w:r w:rsidR="00B70EE2">
              <w:rPr>
                <w:color w:val="auto"/>
                <w:lang w:val="uk-UA"/>
              </w:rPr>
              <w:t>,00</w:t>
            </w:r>
          </w:p>
        </w:tc>
        <w:tc>
          <w:tcPr>
            <w:tcW w:w="1317" w:type="dxa"/>
            <w:shd w:val="clear" w:color="auto" w:fill="auto"/>
          </w:tcPr>
          <w:p w:rsidR="00B70EE2" w:rsidRPr="00485F2D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70EE2" w:rsidRPr="00485F2D" w:rsidRDefault="00FC7C91" w:rsidP="00B70EE2">
            <w:pPr>
              <w:pStyle w:val="a6"/>
              <w:spacing w:after="160" w:line="240" w:lineRule="auto"/>
              <w:ind w:left="-108" w:right="-180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284640,00</w:t>
            </w:r>
          </w:p>
        </w:tc>
        <w:tc>
          <w:tcPr>
            <w:tcW w:w="1260" w:type="dxa"/>
            <w:shd w:val="clear" w:color="auto" w:fill="auto"/>
          </w:tcPr>
          <w:p w:rsidR="00B70EE2" w:rsidRPr="00485F2D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273443,50</w:t>
            </w:r>
          </w:p>
        </w:tc>
        <w:tc>
          <w:tcPr>
            <w:tcW w:w="1222" w:type="dxa"/>
            <w:shd w:val="clear" w:color="auto" w:fill="auto"/>
          </w:tcPr>
          <w:p w:rsidR="00B70EE2" w:rsidRPr="00485F2D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70EE2" w:rsidRPr="00485F2D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273443,50</w:t>
            </w:r>
          </w:p>
        </w:tc>
        <w:tc>
          <w:tcPr>
            <w:tcW w:w="1282" w:type="dxa"/>
            <w:shd w:val="clear" w:color="auto" w:fill="auto"/>
          </w:tcPr>
          <w:p w:rsidR="00B70EE2" w:rsidRPr="00485F2D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11196,50</w:t>
            </w:r>
          </w:p>
        </w:tc>
        <w:tc>
          <w:tcPr>
            <w:tcW w:w="1440" w:type="dxa"/>
            <w:shd w:val="clear" w:color="auto" w:fill="auto"/>
          </w:tcPr>
          <w:p w:rsidR="00B70EE2" w:rsidRPr="00485F2D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70EE2" w:rsidRPr="00485F2D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11196,50</w:t>
            </w:r>
          </w:p>
        </w:tc>
      </w:tr>
      <w:tr w:rsidR="00B250E1" w:rsidRPr="00485F2D" w:rsidTr="00B250E1">
        <w:trPr>
          <w:trHeight w:val="60"/>
        </w:trPr>
        <w:tc>
          <w:tcPr>
            <w:tcW w:w="3060" w:type="dxa"/>
            <w:shd w:val="clear" w:color="auto" w:fill="auto"/>
          </w:tcPr>
          <w:p w:rsidR="00B250E1" w:rsidRPr="00C818C1" w:rsidRDefault="00B250E1" w:rsidP="004C2BC4">
            <w:pPr>
              <w:pStyle w:val="a6"/>
              <w:spacing w:after="160" w:line="240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EF0443">
              <w:rPr>
                <w:sz w:val="20"/>
                <w:szCs w:val="20"/>
                <w:lang w:val="ru-RU"/>
              </w:rPr>
              <w:t xml:space="preserve"> </w:t>
            </w:r>
            <w:r w:rsidRPr="00B250E1">
              <w:rPr>
                <w:sz w:val="22"/>
                <w:szCs w:val="22"/>
                <w:lang w:val="ru-RU"/>
              </w:rPr>
              <w:t>Програма розвитку культури в Попаснянському районі  на 2016-2020 роки. Розпорядження голови РДА від 18.03.2016 №</w:t>
            </w:r>
            <w:r w:rsidRPr="00B250E1">
              <w:rPr>
                <w:sz w:val="22"/>
                <w:szCs w:val="22"/>
                <w:lang w:val="uk-UA"/>
              </w:rPr>
              <w:t xml:space="preserve"> </w:t>
            </w:r>
            <w:r w:rsidRPr="00B250E1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60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188166,00</w:t>
            </w:r>
          </w:p>
        </w:tc>
        <w:tc>
          <w:tcPr>
            <w:tcW w:w="1317" w:type="dxa"/>
            <w:shd w:val="clear" w:color="auto" w:fill="auto"/>
          </w:tcPr>
          <w:p w:rsidR="00B250E1" w:rsidRDefault="00B250E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B250E1" w:rsidRDefault="00FC7C91" w:rsidP="00B70EE2">
            <w:pPr>
              <w:pStyle w:val="a6"/>
              <w:spacing w:after="160" w:line="240" w:lineRule="auto"/>
              <w:ind w:left="-108" w:right="-180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188166,00</w:t>
            </w:r>
          </w:p>
        </w:tc>
        <w:tc>
          <w:tcPr>
            <w:tcW w:w="1260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147396,00</w:t>
            </w:r>
          </w:p>
        </w:tc>
        <w:tc>
          <w:tcPr>
            <w:tcW w:w="1222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147396,00</w:t>
            </w:r>
          </w:p>
        </w:tc>
        <w:tc>
          <w:tcPr>
            <w:tcW w:w="1282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40770,00</w:t>
            </w:r>
          </w:p>
        </w:tc>
        <w:tc>
          <w:tcPr>
            <w:tcW w:w="1440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250E1" w:rsidRDefault="00FC7C91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40770,00</w:t>
            </w:r>
          </w:p>
        </w:tc>
      </w:tr>
      <w:tr w:rsidR="00B250E1" w:rsidRPr="00485F2D" w:rsidTr="00B250E1">
        <w:trPr>
          <w:trHeight w:val="60"/>
        </w:trPr>
        <w:tc>
          <w:tcPr>
            <w:tcW w:w="3060" w:type="dxa"/>
            <w:shd w:val="clear" w:color="auto" w:fill="auto"/>
          </w:tcPr>
          <w:p w:rsidR="00B250E1" w:rsidRPr="00485F2D" w:rsidRDefault="00B250E1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317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B250E1" w:rsidRPr="00485F2D" w:rsidRDefault="00B250E1" w:rsidP="00B250E1">
            <w:pPr>
              <w:pStyle w:val="a6"/>
              <w:spacing w:after="160" w:line="240" w:lineRule="auto"/>
              <w:ind w:right="-18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260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222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50E1" w:rsidRPr="00485F2D" w:rsidRDefault="00B250E1" w:rsidP="00B250E1">
            <w:pPr>
              <w:pStyle w:val="a6"/>
              <w:spacing w:after="160" w:line="240" w:lineRule="auto"/>
              <w:ind w:right="-154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282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  <w:tc>
          <w:tcPr>
            <w:tcW w:w="1440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250E1" w:rsidRPr="00485F2D" w:rsidRDefault="00B250E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</w:tr>
      <w:tr w:rsidR="00F260AC" w:rsidRPr="00485F2D" w:rsidTr="00485F2D">
        <w:trPr>
          <w:trHeight w:val="60"/>
        </w:trPr>
        <w:tc>
          <w:tcPr>
            <w:tcW w:w="14580" w:type="dxa"/>
            <w:gridSpan w:val="10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FC7C91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FC7C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51966,50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економія </w:t>
            </w:r>
            <w:r w:rsidR="00FC7C9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зв’язку з карантинними обмеженнями, були скасовано культурно-масові заходи</w:t>
            </w:r>
            <w:r w:rsidR="00FC7C91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446615" w:rsidRDefault="00446615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F260AC" w:rsidRPr="004947A3" w:rsidRDefault="004947A3" w:rsidP="00F260AC">
      <w:pPr>
        <w:pStyle w:val="Ch60"/>
        <w:rPr>
          <w:rStyle w:val="55"/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>9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. Результативні показники бюджетної програми та аналіз їх виконання: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709"/>
        <w:gridCol w:w="141"/>
        <w:gridCol w:w="1276"/>
        <w:gridCol w:w="142"/>
        <w:gridCol w:w="859"/>
        <w:gridCol w:w="275"/>
        <w:gridCol w:w="142"/>
        <w:gridCol w:w="992"/>
        <w:gridCol w:w="31"/>
        <w:gridCol w:w="1103"/>
        <w:gridCol w:w="1057"/>
        <w:gridCol w:w="219"/>
        <w:gridCol w:w="992"/>
        <w:gridCol w:w="229"/>
        <w:gridCol w:w="1188"/>
        <w:gridCol w:w="972"/>
        <w:gridCol w:w="162"/>
        <w:gridCol w:w="1134"/>
        <w:gridCol w:w="144"/>
        <w:gridCol w:w="1132"/>
      </w:tblGrid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бюджетної програми 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FC7C9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FC7C9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B70EE2" w:rsidRPr="00485F2D" w:rsidTr="00FC7C91">
        <w:trPr>
          <w:trHeight w:val="60"/>
        </w:trPr>
        <w:tc>
          <w:tcPr>
            <w:tcW w:w="534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0EE2" w:rsidRPr="003239EE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FC7C91" w:rsidRPr="00485F2D" w:rsidTr="00FC7C91">
        <w:trPr>
          <w:trHeight w:val="60"/>
        </w:trPr>
        <w:tc>
          <w:tcPr>
            <w:tcW w:w="534" w:type="dxa"/>
            <w:shd w:val="clear" w:color="auto" w:fill="auto"/>
          </w:tcPr>
          <w:p w:rsidR="00FC7C91" w:rsidRPr="00485F2D" w:rsidRDefault="00FC7C91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7C91" w:rsidRPr="009901F9" w:rsidRDefault="00FC7C91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загального фонду на проведення культурно-мистецьких заходів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7C91" w:rsidRPr="002F625E" w:rsidRDefault="00FC7C91" w:rsidP="00B70EE2">
            <w:pPr>
              <w:pStyle w:val="TableTABL"/>
              <w:spacing w:after="160"/>
              <w:ind w:left="-108" w:right="-108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тис.грн.</w:t>
            </w:r>
          </w:p>
        </w:tc>
        <w:tc>
          <w:tcPr>
            <w:tcW w:w="1276" w:type="dxa"/>
            <w:shd w:val="clear" w:color="auto" w:fill="auto"/>
          </w:tcPr>
          <w:p w:rsidR="00FC7C91" w:rsidRPr="00E472AC" w:rsidRDefault="00FC7C91" w:rsidP="00B70EE2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72A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E472AC">
              <w:rPr>
                <w:rFonts w:ascii="Times New Roman" w:hAnsi="Times New Roman" w:cs="Times New Roman"/>
                <w:sz w:val="20"/>
                <w:szCs w:val="20"/>
              </w:rPr>
              <w:t>перелік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992" w:type="dxa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ind w:right="-18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472806,00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992" w:type="dxa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ind w:right="-154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420839,50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  <w:tc>
          <w:tcPr>
            <w:tcW w:w="1134" w:type="dxa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C7C91" w:rsidRPr="00485F2D" w:rsidRDefault="00FC7C91" w:rsidP="00385470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51966,50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FC7C91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51966,50</w:t>
            </w:r>
            <w:r w:rsidR="00E472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 економія по придбанню подяк, кві</w:t>
            </w:r>
            <w:r w:rsidR="00E472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тів, вітальних карток та бензину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9264A6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264A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заходів, які забезпечують організацію проведення районних культурно-масових заходів</w:t>
            </w:r>
          </w:p>
        </w:tc>
        <w:tc>
          <w:tcPr>
            <w:tcW w:w="709" w:type="dxa"/>
            <w:shd w:val="clear" w:color="auto" w:fill="auto"/>
          </w:tcPr>
          <w:p w:rsidR="00E472AC" w:rsidRPr="002F625E" w:rsidRDefault="00E472AC" w:rsidP="003239E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перелік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FC7C91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160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FC7C91" w:rsidP="000A7043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125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FC7C91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125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35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Default="00E472AC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FC7C91" w:rsidRDefault="00FC7C91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 зв’язку з карантинними обмеженнями, були скасовано культурно-масові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FC7C91" w:rsidRPr="00485F2D" w:rsidRDefault="00FC7C91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E472AC">
            <w:pPr>
              <w:pStyle w:val="TableTABL"/>
              <w:spacing w:after="160"/>
              <w:ind w:right="-108" w:hanging="108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0A7043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A7043">
              <w:rPr>
                <w:rFonts w:ascii="Times New Roman" w:hAnsi="Times New Roman" w:cs="Times New Roman"/>
              </w:rPr>
              <w:t>Середні витрати на проведення одного заходу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2F625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розрахунок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472AC" w:rsidRPr="00485F2D" w:rsidRDefault="00FC7C91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2955,00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2955,00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FC7C91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3366,72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3366,72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FC7C91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+411,72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472AC" w:rsidRPr="00485F2D" w:rsidRDefault="00FC7C9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+411,72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FC7C91" w:rsidP="00FC7C91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+411,72</w:t>
            </w:r>
            <w:r w:rsidR="00E472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збільшення 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 придбанню подяк, кві</w:t>
            </w:r>
            <w:r w:rsidR="00E472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тів, та бензину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у зв’язку з підвищенням цін по закупці товарів</w:t>
            </w:r>
            <w:r w:rsidR="00E472AC"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Динаміка збільшення </w:t>
            </w:r>
            <w:r w:rsidR="00C07E5E" w:rsidRPr="00C07E5E">
              <w:rPr>
                <w:rFonts w:ascii="Calibri" w:hAnsi="Calibri"/>
              </w:rPr>
              <w:t xml:space="preserve">заходів </w:t>
            </w:r>
            <w:r w:rsidRPr="00907021">
              <w:t xml:space="preserve"> у плановому періоді у порівнянні з попереднім періодом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2F625E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перелік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C07E5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C07E5E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</w:tbl>
    <w:p w:rsidR="004947A3" w:rsidRDefault="004947A3" w:rsidP="00F260AC">
      <w:pPr>
        <w:pStyle w:val="a6"/>
        <w:suppressAutoHyphens/>
        <w:rPr>
          <w:rStyle w:val="55"/>
          <w:lang w:val="uk-UA"/>
        </w:rPr>
      </w:pPr>
    </w:p>
    <w:p w:rsidR="00F260AC" w:rsidRDefault="004947A3" w:rsidP="00F260AC">
      <w:pPr>
        <w:pStyle w:val="a6"/>
        <w:suppressAutoHyphens/>
        <w:rPr>
          <w:rStyle w:val="55"/>
          <w:b/>
          <w:lang w:val="uk-UA"/>
        </w:rPr>
      </w:pPr>
      <w:r w:rsidRPr="004947A3">
        <w:rPr>
          <w:rStyle w:val="55"/>
          <w:b/>
          <w:lang w:val="uk-UA"/>
        </w:rPr>
        <w:t>10. Узагальнений висновок про виконання бюджетної програми.</w:t>
      </w:r>
    </w:p>
    <w:p w:rsidR="003C011B" w:rsidRPr="004947A3" w:rsidRDefault="003C011B" w:rsidP="00F260AC">
      <w:pPr>
        <w:pStyle w:val="a6"/>
        <w:suppressAutoHyphens/>
        <w:rPr>
          <w:rStyle w:val="55"/>
          <w:b/>
          <w:lang w:val="uk-UA"/>
        </w:rPr>
      </w:pPr>
    </w:p>
    <w:p w:rsidR="003C011B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color w:val="000000"/>
          <w:w w:val="90"/>
          <w:sz w:val="24"/>
          <w:szCs w:val="24"/>
        </w:rPr>
      </w:pPr>
      <w:r w:rsidRPr="00EF0443">
        <w:rPr>
          <w:rFonts w:ascii="Times New Roman" w:hAnsi="Times New Roman"/>
          <w:b/>
          <w:color w:val="000000"/>
          <w:w w:val="90"/>
          <w:sz w:val="24"/>
          <w:szCs w:val="24"/>
        </w:rPr>
        <w:t>Забезпечено виконання завдання програми при використанні бюджетних коштів, своєчасно затверджені паспорти бюджетних  програм, забезпечена  належна  організація  роботи для задоволення духовних потреб громадян.  Забезпечено реалізацію завдань бюджетної програ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ми за 20</w:t>
      </w:r>
      <w:r w:rsidR="00FC7C91">
        <w:rPr>
          <w:rFonts w:ascii="Times New Roman" w:hAnsi="Times New Roman"/>
          <w:b/>
          <w:color w:val="000000"/>
          <w:w w:val="90"/>
          <w:sz w:val="24"/>
          <w:szCs w:val="24"/>
        </w:rPr>
        <w:t>20</w:t>
      </w:r>
      <w:r w:rsidR="00C07E5E">
        <w:rPr>
          <w:rFonts w:ascii="Times New Roman" w:hAnsi="Times New Roman"/>
          <w:b/>
          <w:color w:val="000000"/>
          <w:w w:val="90"/>
          <w:sz w:val="24"/>
          <w:szCs w:val="24"/>
        </w:rPr>
        <w:t>р., які було виконано.</w:t>
      </w:r>
    </w:p>
    <w:p w:rsidR="003C011B" w:rsidRPr="00E32722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Style w:val="55"/>
          <w:rFonts w:ascii="Times New Roman" w:hAnsi="Times New Roman"/>
          <w:b/>
          <w:color w:val="000000"/>
          <w:w w:val="90"/>
          <w:sz w:val="24"/>
          <w:szCs w:val="24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148"/>
        <w:gridCol w:w="3960"/>
        <w:gridCol w:w="567"/>
        <w:gridCol w:w="5373"/>
      </w:tblGrid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3C011B" w:rsidRPr="00F260AC" w:rsidTr="003C011B">
        <w:trPr>
          <w:trHeight w:val="60"/>
        </w:trPr>
        <w:tc>
          <w:tcPr>
            <w:tcW w:w="5148" w:type="dxa"/>
          </w:tcPr>
          <w:p w:rsidR="003C011B" w:rsidRPr="001F1972" w:rsidRDefault="00FC7C91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ерівник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="00FC7C91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Едуард ГАВРАШЕНКО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Наталія ПАВЛИЧЕНКО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260AC" w:rsidRPr="001F1972" w:rsidRDefault="00F260AC" w:rsidP="00F260AC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sectPr w:rsidR="00F260AC" w:rsidRPr="001F1972" w:rsidSect="004C2B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C95"/>
    <w:multiLevelType w:val="hybridMultilevel"/>
    <w:tmpl w:val="07C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C"/>
    <w:rsid w:val="00026CA0"/>
    <w:rsid w:val="00056D1F"/>
    <w:rsid w:val="000A7043"/>
    <w:rsid w:val="000C1D87"/>
    <w:rsid w:val="000D5843"/>
    <w:rsid w:val="000F2E23"/>
    <w:rsid w:val="000F79AF"/>
    <w:rsid w:val="00126765"/>
    <w:rsid w:val="00155D8E"/>
    <w:rsid w:val="00193AC7"/>
    <w:rsid w:val="001A759D"/>
    <w:rsid w:val="001C79D5"/>
    <w:rsid w:val="001D2BC0"/>
    <w:rsid w:val="00224126"/>
    <w:rsid w:val="00254C12"/>
    <w:rsid w:val="00292AD1"/>
    <w:rsid w:val="002F625E"/>
    <w:rsid w:val="003239EE"/>
    <w:rsid w:val="00384888"/>
    <w:rsid w:val="003B5C21"/>
    <w:rsid w:val="003C011B"/>
    <w:rsid w:val="003C03EE"/>
    <w:rsid w:val="003D1AB9"/>
    <w:rsid w:val="00400C9A"/>
    <w:rsid w:val="00446615"/>
    <w:rsid w:val="00485F2D"/>
    <w:rsid w:val="004947A3"/>
    <w:rsid w:val="0049782F"/>
    <w:rsid w:val="004C2BC4"/>
    <w:rsid w:val="005D7C1B"/>
    <w:rsid w:val="00617229"/>
    <w:rsid w:val="00631EBE"/>
    <w:rsid w:val="006359A9"/>
    <w:rsid w:val="006516DC"/>
    <w:rsid w:val="006A344A"/>
    <w:rsid w:val="006C2F0B"/>
    <w:rsid w:val="0072381E"/>
    <w:rsid w:val="00825376"/>
    <w:rsid w:val="0083634F"/>
    <w:rsid w:val="00855FA5"/>
    <w:rsid w:val="008C1EE4"/>
    <w:rsid w:val="009264A6"/>
    <w:rsid w:val="00937274"/>
    <w:rsid w:val="00970A5B"/>
    <w:rsid w:val="00974276"/>
    <w:rsid w:val="009901F9"/>
    <w:rsid w:val="00A10864"/>
    <w:rsid w:val="00A43E6F"/>
    <w:rsid w:val="00A868BA"/>
    <w:rsid w:val="00B250E1"/>
    <w:rsid w:val="00B327DB"/>
    <w:rsid w:val="00B70EE2"/>
    <w:rsid w:val="00B83413"/>
    <w:rsid w:val="00BD7521"/>
    <w:rsid w:val="00C07E5E"/>
    <w:rsid w:val="00C13528"/>
    <w:rsid w:val="00C64F8C"/>
    <w:rsid w:val="00C818C1"/>
    <w:rsid w:val="00CA29B3"/>
    <w:rsid w:val="00CC666A"/>
    <w:rsid w:val="00DB56D8"/>
    <w:rsid w:val="00E12E9D"/>
    <w:rsid w:val="00E472AC"/>
    <w:rsid w:val="00EB7F93"/>
    <w:rsid w:val="00EC7383"/>
    <w:rsid w:val="00F260AC"/>
    <w:rsid w:val="00F75795"/>
    <w:rsid w:val="00FA24E1"/>
    <w:rsid w:val="00FC4CEA"/>
    <w:rsid w:val="00F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96ED-1A5E-4BA8-A7A0-BEB0D221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2020-01-27T07:10:00Z</cp:lastPrinted>
  <dcterms:created xsi:type="dcterms:W3CDTF">2021-02-24T08:47:00Z</dcterms:created>
  <dcterms:modified xsi:type="dcterms:W3CDTF">2021-02-24T08:47:00Z</dcterms:modified>
</cp:coreProperties>
</file>