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36" w:rsidRDefault="000E4A84" w:rsidP="000E4A84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E4A84">
        <w:rPr>
          <w:rFonts w:ascii="Times New Roman" w:hAnsi="Times New Roman" w:cs="Times New Roman"/>
          <w:sz w:val="32"/>
          <w:szCs w:val="32"/>
          <w:lang w:val="uk-UA"/>
        </w:rPr>
        <w:t>ПОРІВНЯЛЬНА ТАБЛИЦЯ</w:t>
      </w:r>
    </w:p>
    <w:p w:rsidR="000E4A84" w:rsidRDefault="000E4A84" w:rsidP="000E4A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листа _№ 64_від _06.03.2019року____</w:t>
      </w:r>
    </w:p>
    <w:p w:rsidR="000E4A84" w:rsidRDefault="000E4A84" w:rsidP="000E4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(№ та дата)</w:t>
      </w:r>
    </w:p>
    <w:p w:rsidR="000E4A84" w:rsidRDefault="000E4A84" w:rsidP="000E4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5"/>
        <w:gridCol w:w="6120"/>
      </w:tblGrid>
      <w:tr w:rsidR="000E4A84" w:rsidTr="007779BB">
        <w:trPr>
          <w:trHeight w:val="1050"/>
        </w:trPr>
        <w:tc>
          <w:tcPr>
            <w:tcW w:w="3545" w:type="dxa"/>
          </w:tcPr>
          <w:p w:rsidR="000E4A84" w:rsidRDefault="000E4A84" w:rsidP="000E4A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Затверджені показники   (з урахуванням змін)</w:t>
            </w:r>
          </w:p>
          <w:p w:rsidR="000E4A84" w:rsidRDefault="000E4A84" w:rsidP="000E4A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КФКВКБ, КЕКВ</w:t>
            </w:r>
          </w:p>
        </w:tc>
        <w:tc>
          <w:tcPr>
            <w:tcW w:w="6120" w:type="dxa"/>
          </w:tcPr>
          <w:p w:rsidR="000E4A84" w:rsidRDefault="000E4A84" w:rsidP="000E4A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необхідного фінансового ресурсу КФКВКБ, КЕКВ</w:t>
            </w:r>
          </w:p>
          <w:p w:rsidR="000E4A84" w:rsidRDefault="000E4A84" w:rsidP="000E4A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Обґрунтуванням необхідності внесення змін</w:t>
            </w:r>
          </w:p>
          <w:p w:rsidR="000E4A84" w:rsidRPr="000E4A84" w:rsidRDefault="000E4A84" w:rsidP="000E4A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A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(обов’язкове посилання на нормативний документ, відповідно до якого потребуються додаткові кошти) </w:t>
            </w:r>
          </w:p>
        </w:tc>
      </w:tr>
      <w:tr w:rsidR="000E4A84" w:rsidTr="007779BB">
        <w:trPr>
          <w:trHeight w:val="2925"/>
        </w:trPr>
        <w:tc>
          <w:tcPr>
            <w:tcW w:w="3545" w:type="dxa"/>
          </w:tcPr>
          <w:p w:rsidR="000E4A84" w:rsidRDefault="007779BB" w:rsidP="00A00F46">
            <w:pPr>
              <w:ind w:right="-111" w:hanging="104"/>
              <w:jc w:val="both"/>
              <w:rPr>
                <w:rFonts w:ascii="Times New Roman" w:hAnsi="Times New Roman" w:cs="Times New Roman"/>
                <w:lang w:val="uk-UA"/>
              </w:rPr>
            </w:pPr>
            <w:r w:rsidRPr="007779BB">
              <w:rPr>
                <w:rFonts w:ascii="Times New Roman" w:hAnsi="Times New Roman" w:cs="Times New Roman"/>
                <w:lang w:val="uk-UA"/>
              </w:rPr>
              <w:t xml:space="preserve"> КФК 0712010, КЕКВ 3210 (3132)</w:t>
            </w:r>
          </w:p>
          <w:p w:rsidR="007779BB" w:rsidRDefault="007779BB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- 3069544,00грн.</w:t>
            </w:r>
          </w:p>
          <w:p w:rsidR="007779BB" w:rsidRDefault="007779BB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779BB" w:rsidRDefault="007779BB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779BB" w:rsidRDefault="007779BB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779BB" w:rsidRDefault="007779BB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779BB" w:rsidRDefault="007779BB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779BB" w:rsidRDefault="007779BB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779BB" w:rsidRDefault="007779BB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779BB" w:rsidRDefault="007779BB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779BB" w:rsidRDefault="007779BB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779BB" w:rsidRDefault="007779BB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00F46" w:rsidRDefault="00A00F46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779BB" w:rsidRDefault="007779BB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КФК 0712010, КЕКВ 2282 (2220)</w:t>
            </w:r>
          </w:p>
          <w:p w:rsidR="007779BB" w:rsidRDefault="007779BB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- 2313795,00грн.</w:t>
            </w:r>
          </w:p>
          <w:p w:rsidR="007779BB" w:rsidRDefault="007779BB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779BB" w:rsidRDefault="007779BB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C1EB3" w:rsidRDefault="008C1EB3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C1EB3" w:rsidRDefault="008C1EB3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C1EB3" w:rsidRDefault="008C1EB3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C1EB3" w:rsidRDefault="008C1EB3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C1EB3" w:rsidRDefault="008C1EB3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779BB" w:rsidRDefault="007779BB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КФК 0712010, КЕКВ 2282 (2240)</w:t>
            </w:r>
          </w:p>
          <w:p w:rsidR="007779BB" w:rsidRDefault="007779BB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- 3400536,00грн.</w:t>
            </w:r>
          </w:p>
          <w:p w:rsidR="005E4BBD" w:rsidRDefault="005E4BBD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8C1EB3" w:rsidRDefault="008C1EB3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22073" w:rsidRDefault="00122073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5E4BBD" w:rsidRDefault="005E4BBD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КФК 0717322, КЕКВ 3142</w:t>
            </w:r>
          </w:p>
          <w:p w:rsidR="008C1EB3" w:rsidRPr="00122073" w:rsidRDefault="005E4BBD" w:rsidP="00122073">
            <w:pPr>
              <w:pStyle w:val="a3"/>
              <w:numPr>
                <w:ilvl w:val="0"/>
                <w:numId w:val="5"/>
              </w:numPr>
              <w:ind w:left="38" w:right="-111" w:hanging="142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950925,00грн.</w:t>
            </w:r>
          </w:p>
          <w:p w:rsidR="00122073" w:rsidRDefault="00122073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5E4BBD" w:rsidRDefault="005E4BBD" w:rsidP="00A00F46">
            <w:pPr>
              <w:ind w:right="-111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КФК 0717361, КЕКВ 3142</w:t>
            </w:r>
          </w:p>
          <w:p w:rsidR="005E4BBD" w:rsidRPr="003075CC" w:rsidRDefault="005E4BBD" w:rsidP="003075CC">
            <w:pPr>
              <w:pStyle w:val="a3"/>
              <w:numPr>
                <w:ilvl w:val="0"/>
                <w:numId w:val="5"/>
              </w:numPr>
              <w:ind w:left="38" w:right="-111" w:hanging="142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0,00грн.</w:t>
            </w:r>
            <w:bookmarkStart w:id="0" w:name="_GoBack"/>
            <w:bookmarkEnd w:id="0"/>
          </w:p>
        </w:tc>
        <w:tc>
          <w:tcPr>
            <w:tcW w:w="6120" w:type="dxa"/>
          </w:tcPr>
          <w:p w:rsidR="000E4A84" w:rsidRPr="00A00F46" w:rsidRDefault="007779BB" w:rsidP="00A00F4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00F46">
              <w:rPr>
                <w:rFonts w:ascii="Times New Roman" w:hAnsi="Times New Roman" w:cs="Times New Roman"/>
                <w:lang w:val="uk-UA"/>
              </w:rPr>
              <w:lastRenderedPageBreak/>
              <w:t>- 2870285,00 в тому разі:</w:t>
            </w:r>
          </w:p>
          <w:p w:rsidR="007779BB" w:rsidRPr="00A00F46" w:rsidRDefault="007779BB" w:rsidP="00A00F46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A00F46">
              <w:rPr>
                <w:rFonts w:ascii="Times New Roman" w:hAnsi="Times New Roman" w:cs="Times New Roman"/>
                <w:lang w:val="uk-UA"/>
              </w:rPr>
              <w:t>- 653562,00грн. - Капітальний ремонт «Улаштування обігріву покрівлі головного корпусу КУ «</w:t>
            </w:r>
            <w:proofErr w:type="spellStart"/>
            <w:r w:rsidRPr="00A00F46">
              <w:rPr>
                <w:rFonts w:ascii="Times New Roman" w:hAnsi="Times New Roman" w:cs="Times New Roman"/>
                <w:lang w:val="uk-UA"/>
              </w:rPr>
              <w:t>Попаснянська</w:t>
            </w:r>
            <w:proofErr w:type="spellEnd"/>
            <w:r w:rsidRPr="00A00F46">
              <w:rPr>
                <w:rFonts w:ascii="Times New Roman" w:hAnsi="Times New Roman" w:cs="Times New Roman"/>
                <w:lang w:val="uk-UA"/>
              </w:rPr>
              <w:t xml:space="preserve"> ЦРЛ» за </w:t>
            </w:r>
            <w:proofErr w:type="spellStart"/>
            <w:r w:rsidRPr="00A00F46">
              <w:rPr>
                <w:rFonts w:ascii="Times New Roman" w:hAnsi="Times New Roman" w:cs="Times New Roman"/>
                <w:lang w:val="uk-UA"/>
              </w:rPr>
              <w:t>адресоюм.Попасна</w:t>
            </w:r>
            <w:proofErr w:type="spellEnd"/>
            <w:r w:rsidRPr="00A00F46">
              <w:rPr>
                <w:rFonts w:ascii="Times New Roman" w:hAnsi="Times New Roman" w:cs="Times New Roman"/>
                <w:lang w:val="uk-UA"/>
              </w:rPr>
              <w:t xml:space="preserve">, вул.Сонячна,35А. – </w:t>
            </w:r>
            <w:r w:rsidR="00D257DB" w:rsidRPr="00A00F46">
              <w:rPr>
                <w:rFonts w:ascii="Times New Roman" w:hAnsi="Times New Roman" w:cs="Times New Roman"/>
                <w:lang w:val="uk-UA"/>
              </w:rPr>
              <w:t>653</w:t>
            </w:r>
            <w:r w:rsidRPr="00A00F46">
              <w:rPr>
                <w:rFonts w:ascii="Times New Roman" w:hAnsi="Times New Roman" w:cs="Times New Roman"/>
                <w:lang w:val="uk-UA"/>
              </w:rPr>
              <w:t>562</w:t>
            </w:r>
            <w:r w:rsidR="00D257DB" w:rsidRPr="00A00F46">
              <w:rPr>
                <w:rFonts w:ascii="Times New Roman" w:hAnsi="Times New Roman" w:cs="Times New Roman"/>
                <w:lang w:val="uk-UA"/>
              </w:rPr>
              <w:t>,00</w:t>
            </w:r>
            <w:r w:rsidRPr="00A00F46">
              <w:rPr>
                <w:rFonts w:ascii="Times New Roman" w:hAnsi="Times New Roman" w:cs="Times New Roman"/>
                <w:lang w:val="uk-UA"/>
              </w:rPr>
              <w:t>грн.</w:t>
            </w:r>
            <w:r w:rsidR="00ED1337" w:rsidRPr="00A00F46">
              <w:rPr>
                <w:rFonts w:ascii="Times New Roman" w:hAnsi="Times New Roman" w:cs="Times New Roman"/>
                <w:lang w:val="uk-UA"/>
              </w:rPr>
              <w:t xml:space="preserve"> (Капітальний ремонт покрівлі головного корпусу лікарні проводився в 2018 році, але підчас експлуатації покрівлі під – час зимового періоду, виникли питання, стосовно зливів на покрівлі. Для роботи зливу на металевій покрівлі, необхідне облаштування обігріву покрівлі).</w:t>
            </w:r>
            <w:r w:rsidRPr="00A00F46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7779BB" w:rsidRPr="00A00F46" w:rsidRDefault="007779BB" w:rsidP="00A00F46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A00F46">
              <w:rPr>
                <w:rFonts w:ascii="Times New Roman" w:hAnsi="Times New Roman" w:cs="Times New Roman"/>
                <w:lang w:val="uk-UA"/>
              </w:rPr>
              <w:t>- 2169068,00грн. - Капітальний ремонт системи опалення приміщень лікарні КУ «</w:t>
            </w:r>
            <w:proofErr w:type="spellStart"/>
            <w:r w:rsidRPr="00A00F46">
              <w:rPr>
                <w:rFonts w:ascii="Times New Roman" w:hAnsi="Times New Roman" w:cs="Times New Roman"/>
                <w:lang w:val="uk-UA"/>
              </w:rPr>
              <w:t>Попаснянська</w:t>
            </w:r>
            <w:proofErr w:type="spellEnd"/>
            <w:r w:rsidRPr="00A00F46">
              <w:rPr>
                <w:rFonts w:ascii="Times New Roman" w:hAnsi="Times New Roman" w:cs="Times New Roman"/>
                <w:lang w:val="uk-UA"/>
              </w:rPr>
              <w:t xml:space="preserve"> ЦРЛ» за адресою: </w:t>
            </w:r>
            <w:proofErr w:type="spellStart"/>
            <w:r w:rsidRPr="00A00F46">
              <w:rPr>
                <w:rFonts w:ascii="Times New Roman" w:hAnsi="Times New Roman" w:cs="Times New Roman"/>
                <w:lang w:val="uk-UA"/>
              </w:rPr>
              <w:t>м.Гірське</w:t>
            </w:r>
            <w:proofErr w:type="spellEnd"/>
            <w:r w:rsidRPr="00A00F46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A00F46">
              <w:rPr>
                <w:rFonts w:ascii="Times New Roman" w:hAnsi="Times New Roman" w:cs="Times New Roman"/>
                <w:lang w:val="uk-UA"/>
              </w:rPr>
              <w:t>вул.Гагаріна</w:t>
            </w:r>
            <w:proofErr w:type="spellEnd"/>
            <w:r w:rsidRPr="00A00F46">
              <w:rPr>
                <w:rFonts w:ascii="Times New Roman" w:hAnsi="Times New Roman" w:cs="Times New Roman"/>
                <w:lang w:val="uk-UA"/>
              </w:rPr>
              <w:t xml:space="preserve">, буд.3. </w:t>
            </w:r>
            <w:r w:rsidR="00ED1337" w:rsidRPr="00A00F46">
              <w:rPr>
                <w:rFonts w:ascii="Times New Roman" w:hAnsi="Times New Roman" w:cs="Times New Roman"/>
                <w:lang w:val="uk-UA"/>
              </w:rPr>
              <w:t xml:space="preserve">Лікарня у </w:t>
            </w:r>
            <w:proofErr w:type="spellStart"/>
            <w:r w:rsidR="00ED1337" w:rsidRPr="00A00F46">
              <w:rPr>
                <w:rFonts w:ascii="Times New Roman" w:hAnsi="Times New Roman" w:cs="Times New Roman"/>
                <w:lang w:val="uk-UA"/>
              </w:rPr>
              <w:t>м.Гірське</w:t>
            </w:r>
            <w:proofErr w:type="spellEnd"/>
            <w:r w:rsidR="00ED1337" w:rsidRPr="00A00F46">
              <w:rPr>
                <w:rFonts w:ascii="Times New Roman" w:hAnsi="Times New Roman" w:cs="Times New Roman"/>
                <w:lang w:val="uk-UA"/>
              </w:rPr>
              <w:t xml:space="preserve"> була побудована в 1986 році. В тому же році було змонтовано систему опалення лікарні. Під час експлуатації лікарні, капітального ремонту не проводилося, тільки частково поточний ремонт. Тому для якісного перебування хворих та медичного персоналу в лікарні необхідно проведення капітального ремонту системи опалення. </w:t>
            </w:r>
          </w:p>
          <w:p w:rsidR="00D257DB" w:rsidRPr="00A00F46" w:rsidRDefault="007779BB" w:rsidP="00A00F46">
            <w:pPr>
              <w:rPr>
                <w:rFonts w:ascii="Times New Roman" w:hAnsi="Times New Roman" w:cs="Times New Roman"/>
                <w:lang w:val="uk-UA"/>
              </w:rPr>
            </w:pPr>
            <w:r w:rsidRPr="00A00F46">
              <w:rPr>
                <w:rFonts w:cs="Times New Roman"/>
                <w:lang w:val="uk-UA"/>
              </w:rPr>
              <w:t xml:space="preserve">- </w:t>
            </w:r>
            <w:r w:rsidRPr="00A00F46">
              <w:rPr>
                <w:rFonts w:ascii="Times New Roman" w:hAnsi="Times New Roman" w:cs="Times New Roman"/>
                <w:lang w:val="uk-UA"/>
              </w:rPr>
              <w:t xml:space="preserve">47655,00грн. - «Капітальний ремонт (частина 4-го поверху) лікарні </w:t>
            </w:r>
            <w:proofErr w:type="spellStart"/>
            <w:r w:rsidRPr="00A00F46">
              <w:rPr>
                <w:rFonts w:ascii="Times New Roman" w:hAnsi="Times New Roman" w:cs="Times New Roman"/>
                <w:lang w:val="uk-UA"/>
              </w:rPr>
              <w:t>м.Гірське</w:t>
            </w:r>
            <w:proofErr w:type="spellEnd"/>
            <w:r w:rsidRPr="00A00F46">
              <w:rPr>
                <w:rFonts w:ascii="Times New Roman" w:hAnsi="Times New Roman" w:cs="Times New Roman"/>
                <w:lang w:val="uk-UA"/>
              </w:rPr>
              <w:t xml:space="preserve"> Комунальної установи «</w:t>
            </w:r>
            <w:proofErr w:type="spellStart"/>
            <w:r w:rsidRPr="00A00F46">
              <w:rPr>
                <w:rFonts w:ascii="Times New Roman" w:hAnsi="Times New Roman" w:cs="Times New Roman"/>
                <w:lang w:val="uk-UA"/>
              </w:rPr>
              <w:t>Попаснянська</w:t>
            </w:r>
            <w:proofErr w:type="spellEnd"/>
            <w:r w:rsidRPr="00A00F46">
              <w:rPr>
                <w:rFonts w:ascii="Times New Roman" w:hAnsi="Times New Roman" w:cs="Times New Roman"/>
                <w:lang w:val="uk-UA"/>
              </w:rPr>
              <w:t xml:space="preserve"> Центральна районна лікарня» за адресою: </w:t>
            </w:r>
            <w:proofErr w:type="spellStart"/>
            <w:r w:rsidRPr="00A00F46">
              <w:rPr>
                <w:rFonts w:ascii="Times New Roman" w:hAnsi="Times New Roman" w:cs="Times New Roman"/>
                <w:lang w:val="uk-UA"/>
              </w:rPr>
              <w:t>м.Гірське</w:t>
            </w:r>
            <w:proofErr w:type="spellEnd"/>
            <w:r w:rsidRPr="00A00F46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A00F46">
              <w:rPr>
                <w:rFonts w:ascii="Times New Roman" w:hAnsi="Times New Roman" w:cs="Times New Roman"/>
                <w:lang w:val="uk-UA"/>
              </w:rPr>
              <w:t>вул.Гагаріна</w:t>
            </w:r>
            <w:proofErr w:type="spellEnd"/>
            <w:r w:rsidRPr="00A00F46">
              <w:rPr>
                <w:rFonts w:ascii="Times New Roman" w:hAnsi="Times New Roman" w:cs="Times New Roman"/>
                <w:lang w:val="uk-UA"/>
              </w:rPr>
              <w:t>, 3».</w:t>
            </w:r>
            <w:r w:rsidR="00D257DB" w:rsidRPr="00A00F46">
              <w:rPr>
                <w:rFonts w:ascii="Times New Roman" w:hAnsi="Times New Roman" w:cs="Times New Roman"/>
                <w:lang w:val="uk-UA"/>
              </w:rPr>
              <w:t xml:space="preserve"> При складанні кошторисної документації на виконання робіт по «Капітальному ремонту (частина 4-го поверху) лікарні </w:t>
            </w:r>
            <w:proofErr w:type="spellStart"/>
            <w:r w:rsidR="00D257DB" w:rsidRPr="00A00F46">
              <w:rPr>
                <w:rFonts w:ascii="Times New Roman" w:hAnsi="Times New Roman" w:cs="Times New Roman"/>
                <w:lang w:val="uk-UA"/>
              </w:rPr>
              <w:t>м.Гірське</w:t>
            </w:r>
            <w:proofErr w:type="spellEnd"/>
            <w:r w:rsidR="00D257DB" w:rsidRPr="00A00F46">
              <w:rPr>
                <w:rFonts w:ascii="Times New Roman" w:hAnsi="Times New Roman" w:cs="Times New Roman"/>
                <w:lang w:val="uk-UA"/>
              </w:rPr>
              <w:t xml:space="preserve"> Комунальної установи «</w:t>
            </w:r>
            <w:proofErr w:type="spellStart"/>
            <w:r w:rsidR="00D257DB" w:rsidRPr="00A00F46">
              <w:rPr>
                <w:rFonts w:ascii="Times New Roman" w:hAnsi="Times New Roman" w:cs="Times New Roman"/>
                <w:lang w:val="uk-UA"/>
              </w:rPr>
              <w:t>Попаснянська</w:t>
            </w:r>
            <w:proofErr w:type="spellEnd"/>
            <w:r w:rsidR="00D257DB" w:rsidRPr="00A00F46">
              <w:rPr>
                <w:rFonts w:ascii="Times New Roman" w:hAnsi="Times New Roman" w:cs="Times New Roman"/>
                <w:lang w:val="uk-UA"/>
              </w:rPr>
              <w:t xml:space="preserve"> Центральна районна лікарня» за адресою: </w:t>
            </w:r>
            <w:proofErr w:type="spellStart"/>
            <w:r w:rsidR="00D257DB" w:rsidRPr="00A00F46">
              <w:rPr>
                <w:rFonts w:ascii="Times New Roman" w:hAnsi="Times New Roman" w:cs="Times New Roman"/>
                <w:lang w:val="uk-UA"/>
              </w:rPr>
              <w:t>м.Гірське</w:t>
            </w:r>
            <w:proofErr w:type="spellEnd"/>
            <w:r w:rsidR="00D257DB" w:rsidRPr="00A00F46">
              <w:rPr>
                <w:rFonts w:ascii="Times New Roman" w:hAnsi="Times New Roman" w:cs="Times New Roman"/>
                <w:lang w:val="uk-UA"/>
              </w:rPr>
              <w:t>, вул. Гагаріна,3» по чотирьох позиціях кошторису не була врахована заробітна плата на виконання робіт, а саме:</w:t>
            </w:r>
          </w:p>
          <w:p w:rsidR="00A00F46" w:rsidRPr="00A00F46" w:rsidRDefault="00A00F46" w:rsidP="00A00F46">
            <w:pPr>
              <w:rPr>
                <w:rFonts w:ascii="Times New Roman" w:hAnsi="Times New Roman" w:cs="Times New Roman"/>
                <w:lang w:val="uk-UA"/>
              </w:rPr>
            </w:pPr>
            <w:r w:rsidRPr="00A00F46">
              <w:rPr>
                <w:rFonts w:ascii="Times New Roman" w:hAnsi="Times New Roman" w:cs="Times New Roman"/>
                <w:lang w:val="uk-UA"/>
              </w:rPr>
              <w:t xml:space="preserve">Улаштування засклених перегородок готовими блоками площею до 2 м2 з металопластику в кам’яних стінах житлових і громадських будівель (п.26 локального кошторису при укладанні договору та п.26 локального кошторису після виправлення) – 3,5306 м2 на суму </w:t>
            </w:r>
            <w:r w:rsidR="00E15F8A">
              <w:rPr>
                <w:rFonts w:ascii="Times New Roman" w:hAnsi="Times New Roman" w:cs="Times New Roman"/>
                <w:lang w:val="uk-UA"/>
              </w:rPr>
              <w:t>559,55</w:t>
            </w:r>
            <w:r w:rsidRPr="00A00F46">
              <w:rPr>
                <w:rFonts w:ascii="Times New Roman" w:hAnsi="Times New Roman" w:cs="Times New Roman"/>
                <w:lang w:val="uk-UA"/>
              </w:rPr>
              <w:t xml:space="preserve"> грн;</w:t>
            </w:r>
          </w:p>
          <w:p w:rsidR="00A00F46" w:rsidRPr="00A00F46" w:rsidRDefault="00A00F46" w:rsidP="00A00F46">
            <w:pPr>
              <w:rPr>
                <w:rFonts w:ascii="Times New Roman" w:hAnsi="Times New Roman" w:cs="Times New Roman"/>
                <w:lang w:val="uk-UA"/>
              </w:rPr>
            </w:pPr>
            <w:r w:rsidRPr="00A00F46">
              <w:rPr>
                <w:rFonts w:ascii="Times New Roman" w:hAnsi="Times New Roman" w:cs="Times New Roman"/>
                <w:lang w:val="uk-UA"/>
              </w:rPr>
              <w:t xml:space="preserve">Улаштування обшивки стін </w:t>
            </w:r>
            <w:proofErr w:type="spellStart"/>
            <w:r w:rsidRPr="00A00F46">
              <w:rPr>
                <w:rFonts w:ascii="Times New Roman" w:hAnsi="Times New Roman" w:cs="Times New Roman"/>
                <w:lang w:val="uk-UA"/>
              </w:rPr>
              <w:t>гіпсокартонними</w:t>
            </w:r>
            <w:proofErr w:type="spellEnd"/>
            <w:r w:rsidRPr="00A00F46">
              <w:rPr>
                <w:rFonts w:ascii="Times New Roman" w:hAnsi="Times New Roman" w:cs="Times New Roman"/>
                <w:lang w:val="uk-UA"/>
              </w:rPr>
              <w:t xml:space="preserve"> і гіпсоволокнистими листами на клею (п.43 локального кошторису при укладанні договору та п.47 локального кошторису після виправлення) – 179,59м2 на суму </w:t>
            </w:r>
            <w:r w:rsidR="00E15F8A">
              <w:rPr>
                <w:rFonts w:ascii="Times New Roman" w:hAnsi="Times New Roman" w:cs="Times New Roman"/>
                <w:lang w:val="uk-UA"/>
              </w:rPr>
              <w:t>16178,95</w:t>
            </w:r>
            <w:r w:rsidRPr="00A00F46">
              <w:rPr>
                <w:rFonts w:ascii="Times New Roman" w:hAnsi="Times New Roman" w:cs="Times New Roman"/>
                <w:lang w:val="uk-UA"/>
              </w:rPr>
              <w:t xml:space="preserve"> грн;</w:t>
            </w:r>
          </w:p>
          <w:p w:rsidR="00A00F46" w:rsidRPr="00A00F46" w:rsidRDefault="00A00F46" w:rsidP="00A00F46">
            <w:pPr>
              <w:rPr>
                <w:rFonts w:ascii="Times New Roman" w:hAnsi="Times New Roman" w:cs="Times New Roman"/>
                <w:lang w:val="uk-UA"/>
              </w:rPr>
            </w:pPr>
            <w:r w:rsidRPr="00A00F46">
              <w:rPr>
                <w:rFonts w:ascii="Times New Roman" w:hAnsi="Times New Roman" w:cs="Times New Roman"/>
                <w:lang w:val="uk-UA"/>
              </w:rPr>
              <w:t xml:space="preserve">Облицювання поверхонь стін керамічними плитками на розчині із сухої </w:t>
            </w:r>
            <w:proofErr w:type="spellStart"/>
            <w:r w:rsidRPr="00A00F46">
              <w:rPr>
                <w:rFonts w:ascii="Times New Roman" w:hAnsi="Times New Roman" w:cs="Times New Roman"/>
                <w:lang w:val="uk-UA"/>
              </w:rPr>
              <w:t>клеючої</w:t>
            </w:r>
            <w:proofErr w:type="spellEnd"/>
            <w:r w:rsidRPr="00A00F46">
              <w:rPr>
                <w:rFonts w:ascii="Times New Roman" w:hAnsi="Times New Roman" w:cs="Times New Roman"/>
                <w:lang w:val="uk-UA"/>
              </w:rPr>
              <w:t xml:space="preserve"> суміші, число плиток в 1м2 понад 7 до 12 </w:t>
            </w:r>
            <w:proofErr w:type="spellStart"/>
            <w:r w:rsidRPr="00A00F46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  <w:r w:rsidRPr="00A00F46">
              <w:rPr>
                <w:rFonts w:ascii="Times New Roman" w:hAnsi="Times New Roman" w:cs="Times New Roman"/>
                <w:lang w:val="uk-UA"/>
              </w:rPr>
              <w:t xml:space="preserve"> (п.56 локального кошторису при укладанні договору </w:t>
            </w:r>
            <w:r w:rsidRPr="00A00F46">
              <w:rPr>
                <w:rFonts w:ascii="Times New Roman" w:hAnsi="Times New Roman" w:cs="Times New Roman"/>
                <w:lang w:val="uk-UA"/>
              </w:rPr>
              <w:lastRenderedPageBreak/>
              <w:t xml:space="preserve">та п.64 локального кошторису після виправлення) – 52,03м2 на суму </w:t>
            </w:r>
            <w:r w:rsidR="00E15F8A">
              <w:rPr>
                <w:rFonts w:ascii="Times New Roman" w:hAnsi="Times New Roman" w:cs="Times New Roman"/>
                <w:lang w:val="uk-UA"/>
              </w:rPr>
              <w:t>14225,17</w:t>
            </w:r>
            <w:r w:rsidRPr="00A00F46">
              <w:rPr>
                <w:rFonts w:ascii="Times New Roman" w:hAnsi="Times New Roman" w:cs="Times New Roman"/>
                <w:lang w:val="uk-UA"/>
              </w:rPr>
              <w:t xml:space="preserve"> грн;</w:t>
            </w:r>
          </w:p>
          <w:p w:rsidR="00A00F46" w:rsidRPr="00A00F46" w:rsidRDefault="00A00F46" w:rsidP="00A00F46">
            <w:pPr>
              <w:rPr>
                <w:rFonts w:ascii="Times New Roman" w:hAnsi="Times New Roman" w:cs="Times New Roman"/>
                <w:lang w:val="uk-UA"/>
              </w:rPr>
            </w:pPr>
            <w:r w:rsidRPr="00A00F46">
              <w:rPr>
                <w:rFonts w:ascii="Times New Roman" w:hAnsi="Times New Roman" w:cs="Times New Roman"/>
                <w:lang w:val="uk-UA"/>
              </w:rPr>
              <w:t xml:space="preserve">Заповнення віконних прорізів готовими блоками площею більше 3м2 з металопластику в кам’яних стінах житлових і громадських будівель (п.153 локального кошторису при укладанні договору та п.169 локального кошторису після виправлення) – 6,16м2 на суму </w:t>
            </w:r>
            <w:r w:rsidR="00E15F8A">
              <w:rPr>
                <w:rFonts w:ascii="Times New Roman" w:hAnsi="Times New Roman" w:cs="Times New Roman"/>
                <w:lang w:val="uk-UA"/>
              </w:rPr>
              <w:t>609,23</w:t>
            </w:r>
            <w:r w:rsidRPr="00A00F46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A00F46" w:rsidRPr="00A00F46" w:rsidRDefault="00A00F46" w:rsidP="00A00F46">
            <w:pPr>
              <w:rPr>
                <w:rFonts w:ascii="Times New Roman" w:hAnsi="Times New Roman" w:cs="Times New Roman"/>
                <w:lang w:val="uk-UA"/>
              </w:rPr>
            </w:pPr>
            <w:r w:rsidRPr="00A00F46">
              <w:rPr>
                <w:rFonts w:ascii="Times New Roman" w:hAnsi="Times New Roman" w:cs="Times New Roman"/>
                <w:lang w:val="uk-UA"/>
              </w:rPr>
              <w:t xml:space="preserve">Також при виконанні робіт виникла необхідність в установці однієї двері з металопластику розмір 1270х1990 (п.80 локального кошторису після виправлення) сума роботи та матеріалу 8971,92грн, та встановлення відбійників 39,7 </w:t>
            </w:r>
            <w:proofErr w:type="spellStart"/>
            <w:r w:rsidRPr="00A00F46">
              <w:rPr>
                <w:rFonts w:ascii="Times New Roman" w:hAnsi="Times New Roman" w:cs="Times New Roman"/>
                <w:lang w:val="uk-UA"/>
              </w:rPr>
              <w:t>м.п.на</w:t>
            </w:r>
            <w:proofErr w:type="spellEnd"/>
            <w:r w:rsidRPr="00A00F46">
              <w:rPr>
                <w:rFonts w:ascii="Times New Roman" w:hAnsi="Times New Roman" w:cs="Times New Roman"/>
                <w:lang w:val="uk-UA"/>
              </w:rPr>
              <w:t xml:space="preserve"> стінах згідно санітарних норм (п.60 локального кошторису після виправлення) сума роботи та матеріалу </w:t>
            </w:r>
            <w:r w:rsidR="00E15F8A">
              <w:rPr>
                <w:rFonts w:ascii="Times New Roman" w:hAnsi="Times New Roman" w:cs="Times New Roman"/>
                <w:lang w:val="uk-UA"/>
              </w:rPr>
              <w:t>9893,82</w:t>
            </w:r>
            <w:r w:rsidRPr="00A00F46">
              <w:rPr>
                <w:rFonts w:ascii="Times New Roman" w:hAnsi="Times New Roman" w:cs="Times New Roman"/>
                <w:lang w:val="uk-UA"/>
              </w:rPr>
              <w:t>грн.</w:t>
            </w:r>
          </w:p>
          <w:p w:rsidR="00A00F46" w:rsidRDefault="00A00F46" w:rsidP="00A00F46">
            <w:pPr>
              <w:rPr>
                <w:rFonts w:ascii="Times New Roman" w:hAnsi="Times New Roman" w:cs="Times New Roman"/>
                <w:lang w:val="uk-UA"/>
              </w:rPr>
            </w:pPr>
            <w:r w:rsidRPr="00A00F46">
              <w:rPr>
                <w:rFonts w:ascii="Times New Roman" w:hAnsi="Times New Roman" w:cs="Times New Roman"/>
                <w:lang w:val="uk-UA"/>
              </w:rPr>
              <w:t xml:space="preserve">Збільшився обсяг улаштування стяжок </w:t>
            </w:r>
            <w:proofErr w:type="spellStart"/>
            <w:r w:rsidRPr="00A00F46">
              <w:rPr>
                <w:rFonts w:ascii="Times New Roman" w:hAnsi="Times New Roman" w:cs="Times New Roman"/>
                <w:lang w:val="uk-UA"/>
              </w:rPr>
              <w:t>самовирівнювальних</w:t>
            </w:r>
            <w:proofErr w:type="spellEnd"/>
            <w:r w:rsidRPr="00A00F46">
              <w:rPr>
                <w:rFonts w:ascii="Times New Roman" w:hAnsi="Times New Roman" w:cs="Times New Roman"/>
                <w:lang w:val="uk-UA"/>
              </w:rPr>
              <w:t xml:space="preserve"> з суміші </w:t>
            </w:r>
            <w:proofErr w:type="spellStart"/>
            <w:r w:rsidRPr="00A00F46">
              <w:rPr>
                <w:rFonts w:ascii="Times New Roman" w:hAnsi="Times New Roman" w:cs="Times New Roman"/>
                <w:lang w:val="en-US"/>
              </w:rPr>
              <w:t>Ceresit</w:t>
            </w:r>
            <w:proofErr w:type="spellEnd"/>
            <w:r w:rsidRPr="00A00F4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00F46">
              <w:rPr>
                <w:rFonts w:ascii="Times New Roman" w:hAnsi="Times New Roman" w:cs="Times New Roman"/>
                <w:lang w:val="en-US"/>
              </w:rPr>
              <w:t>CN</w:t>
            </w:r>
            <w:r w:rsidRPr="00A00F46">
              <w:rPr>
                <w:rFonts w:ascii="Times New Roman" w:hAnsi="Times New Roman" w:cs="Times New Roman"/>
                <w:lang w:val="uk-UA"/>
              </w:rPr>
              <w:t xml:space="preserve"> 69 (п.6 локального кошторису при укладанні договору та п.6 локального кошторису після виправлення) було 8,5 м2, стало 32,66м2. Сума різниці роботи та матеріалу </w:t>
            </w:r>
            <w:r w:rsidR="00E15F8A">
              <w:rPr>
                <w:rFonts w:ascii="Times New Roman" w:hAnsi="Times New Roman" w:cs="Times New Roman"/>
                <w:lang w:val="uk-UA"/>
              </w:rPr>
              <w:t>6187,41,</w:t>
            </w:r>
            <w:r w:rsidRPr="00A00F46">
              <w:rPr>
                <w:rFonts w:ascii="Times New Roman" w:hAnsi="Times New Roman" w:cs="Times New Roman"/>
                <w:lang w:val="uk-UA"/>
              </w:rPr>
              <w:t xml:space="preserve"> грн; </w:t>
            </w:r>
          </w:p>
          <w:p w:rsidR="00A00F46" w:rsidRPr="00A00F46" w:rsidRDefault="00A00F46" w:rsidP="00A00F46">
            <w:pPr>
              <w:rPr>
                <w:rFonts w:ascii="Times New Roman" w:hAnsi="Times New Roman" w:cs="Times New Roman"/>
                <w:lang w:val="uk-UA"/>
              </w:rPr>
            </w:pPr>
            <w:r w:rsidRPr="00A00F46">
              <w:rPr>
                <w:rFonts w:ascii="Times New Roman" w:hAnsi="Times New Roman" w:cs="Times New Roman"/>
                <w:lang w:val="uk-UA"/>
              </w:rPr>
              <w:t xml:space="preserve">Виправлення помилок в кошторисі та врахування додаткових об’ємів призвело до збільшення суми виділених коштів у розмірі 47 654,13 грн.( сорок сім тисяч шістсот п’ятдесят чотири грн.. 13 коп.) в </w:t>
            </w:r>
            <w:proofErr w:type="spellStart"/>
            <w:r w:rsidRPr="00A00F46">
              <w:rPr>
                <w:rFonts w:ascii="Times New Roman" w:hAnsi="Times New Roman" w:cs="Times New Roman"/>
                <w:lang w:val="uk-UA"/>
              </w:rPr>
              <w:t>т.р</w:t>
            </w:r>
            <w:proofErr w:type="spellEnd"/>
            <w:r w:rsidRPr="00A00F46">
              <w:rPr>
                <w:rFonts w:ascii="Times New Roman" w:hAnsi="Times New Roman" w:cs="Times New Roman"/>
                <w:lang w:val="uk-UA"/>
              </w:rPr>
              <w:t>. ПДВ 20% - 7942,35 грн. (сім тисяч дев’ятсот сорок дві грн. 35 коп.).</w:t>
            </w:r>
          </w:p>
          <w:p w:rsidR="007779BB" w:rsidRPr="00A00F46" w:rsidRDefault="00A00F46" w:rsidP="00A00F46">
            <w:pPr>
              <w:rPr>
                <w:rFonts w:ascii="Times New Roman" w:hAnsi="Times New Roman" w:cs="Times New Roman"/>
                <w:lang w:val="uk-UA"/>
              </w:rPr>
            </w:pPr>
            <w:r w:rsidRPr="00A00F46">
              <w:rPr>
                <w:rFonts w:ascii="Times New Roman" w:hAnsi="Times New Roman" w:cs="Times New Roman"/>
                <w:lang w:val="uk-UA"/>
              </w:rPr>
              <w:t xml:space="preserve">Виходячи з вищевикладеного просимо розглянути можливість виділення необхідних додаткових коштів </w:t>
            </w:r>
            <w:r>
              <w:rPr>
                <w:rFonts w:ascii="Times New Roman" w:hAnsi="Times New Roman" w:cs="Times New Roman"/>
                <w:lang w:val="uk-UA"/>
              </w:rPr>
              <w:t xml:space="preserve">у сумі 47655,00грн. </w:t>
            </w:r>
            <w:r w:rsidRPr="00A00F46">
              <w:rPr>
                <w:rFonts w:ascii="Times New Roman" w:hAnsi="Times New Roman" w:cs="Times New Roman"/>
                <w:lang w:val="uk-UA"/>
              </w:rPr>
              <w:t xml:space="preserve">Проходження повторної експертизи </w:t>
            </w:r>
            <w:r w:rsidRPr="008C1EB3">
              <w:rPr>
                <w:rFonts w:ascii="Times New Roman" w:hAnsi="Times New Roman" w:cs="Times New Roman"/>
                <w:lang w:val="uk-UA"/>
              </w:rPr>
              <w:t xml:space="preserve">по «Капітальному ремонту (частина 4-го поверху) лікарні </w:t>
            </w:r>
            <w:proofErr w:type="spellStart"/>
            <w:r w:rsidRPr="008C1EB3">
              <w:rPr>
                <w:rFonts w:ascii="Times New Roman" w:hAnsi="Times New Roman" w:cs="Times New Roman"/>
                <w:lang w:val="uk-UA"/>
              </w:rPr>
              <w:t>м.Гірське</w:t>
            </w:r>
            <w:proofErr w:type="spellEnd"/>
            <w:r w:rsidRPr="008C1EB3">
              <w:rPr>
                <w:rFonts w:ascii="Times New Roman" w:hAnsi="Times New Roman" w:cs="Times New Roman"/>
                <w:lang w:val="uk-UA"/>
              </w:rPr>
              <w:t xml:space="preserve"> Комунальної установи «</w:t>
            </w:r>
            <w:proofErr w:type="spellStart"/>
            <w:r w:rsidRPr="008C1EB3">
              <w:rPr>
                <w:rFonts w:ascii="Times New Roman" w:hAnsi="Times New Roman" w:cs="Times New Roman"/>
                <w:lang w:val="uk-UA"/>
              </w:rPr>
              <w:t>Попаснянська</w:t>
            </w:r>
            <w:proofErr w:type="spellEnd"/>
            <w:r w:rsidRPr="008C1EB3">
              <w:rPr>
                <w:rFonts w:ascii="Times New Roman" w:hAnsi="Times New Roman" w:cs="Times New Roman"/>
                <w:lang w:val="uk-UA"/>
              </w:rPr>
              <w:t xml:space="preserve"> Центральна районна лікарня» за адресою: </w:t>
            </w:r>
            <w:proofErr w:type="spellStart"/>
            <w:r w:rsidRPr="008C1EB3">
              <w:rPr>
                <w:rFonts w:ascii="Times New Roman" w:hAnsi="Times New Roman" w:cs="Times New Roman"/>
                <w:lang w:val="uk-UA"/>
              </w:rPr>
              <w:t>м.Гірське</w:t>
            </w:r>
            <w:proofErr w:type="spellEnd"/>
            <w:r w:rsidRPr="008C1EB3">
              <w:rPr>
                <w:rFonts w:ascii="Times New Roman" w:hAnsi="Times New Roman" w:cs="Times New Roman"/>
                <w:lang w:val="uk-UA"/>
              </w:rPr>
              <w:t>, вул. Гагаріна,3. Коригування» та оплата буде проведена ТОВ</w:t>
            </w:r>
            <w:r w:rsidRPr="00A00F46">
              <w:rPr>
                <w:rFonts w:ascii="Times New Roman" w:hAnsi="Times New Roman" w:cs="Times New Roman"/>
                <w:lang w:val="uk-UA"/>
              </w:rPr>
              <w:t xml:space="preserve"> «Сервіс Комфорт </w:t>
            </w:r>
            <w:proofErr w:type="spellStart"/>
            <w:r w:rsidRPr="00A00F46">
              <w:rPr>
                <w:rFonts w:ascii="Times New Roman" w:hAnsi="Times New Roman" w:cs="Times New Roman"/>
                <w:lang w:val="uk-UA"/>
              </w:rPr>
              <w:t>Строй</w:t>
            </w:r>
            <w:proofErr w:type="spellEnd"/>
            <w:r w:rsidRPr="00A00F46">
              <w:rPr>
                <w:rFonts w:ascii="Times New Roman" w:hAnsi="Times New Roman" w:cs="Times New Roman"/>
                <w:lang w:val="uk-UA"/>
              </w:rPr>
              <w:t>».</w:t>
            </w:r>
          </w:p>
          <w:p w:rsidR="007779BB" w:rsidRDefault="007779BB" w:rsidP="00A00F46">
            <w:pPr>
              <w:pStyle w:val="a3"/>
              <w:numPr>
                <w:ilvl w:val="0"/>
                <w:numId w:val="4"/>
              </w:numPr>
              <w:spacing w:line="240" w:lineRule="auto"/>
              <w:ind w:left="0" w:hanging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A00F46">
              <w:rPr>
                <w:rFonts w:ascii="Times New Roman" w:hAnsi="Times New Roman" w:cs="Times New Roman"/>
                <w:lang w:val="uk-UA"/>
              </w:rPr>
              <w:t xml:space="preserve">53820,00грн. - На придбання витратних матеріалів для обстеження на </w:t>
            </w:r>
            <w:proofErr w:type="spellStart"/>
            <w:r w:rsidRPr="00A00F46">
              <w:rPr>
                <w:rFonts w:ascii="Times New Roman" w:hAnsi="Times New Roman" w:cs="Times New Roman"/>
                <w:lang w:val="uk-UA"/>
              </w:rPr>
              <w:t>глікований</w:t>
            </w:r>
            <w:proofErr w:type="spellEnd"/>
            <w:r w:rsidRPr="00A00F46">
              <w:rPr>
                <w:rFonts w:ascii="Times New Roman" w:hAnsi="Times New Roman" w:cs="Times New Roman"/>
                <w:lang w:val="uk-UA"/>
              </w:rPr>
              <w:t xml:space="preserve"> гемоглобін хворих на цукровий діабет.</w:t>
            </w:r>
            <w:r w:rsidR="00807435" w:rsidRPr="00A00F4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C693F" w:rsidRPr="00A00F46">
              <w:rPr>
                <w:rFonts w:ascii="Times New Roman" w:hAnsi="Times New Roman" w:cs="Times New Roman"/>
                <w:lang w:val="uk-UA"/>
              </w:rPr>
              <w:t xml:space="preserve">Згідно наказу МОЗ України від 23.122015року №890 «Про затвердження Положення про реєстр пацієнтів, що потребують </w:t>
            </w:r>
            <w:proofErr w:type="spellStart"/>
            <w:r w:rsidR="001C693F" w:rsidRPr="00A00F46">
              <w:rPr>
                <w:rFonts w:ascii="Times New Roman" w:hAnsi="Times New Roman" w:cs="Times New Roman"/>
                <w:lang w:val="uk-UA"/>
              </w:rPr>
              <w:t>інсулінотерапії</w:t>
            </w:r>
            <w:proofErr w:type="spellEnd"/>
            <w:r w:rsidR="001C693F" w:rsidRPr="00A00F46">
              <w:rPr>
                <w:rFonts w:ascii="Times New Roman" w:hAnsi="Times New Roman" w:cs="Times New Roman"/>
                <w:lang w:val="uk-UA"/>
              </w:rPr>
              <w:t xml:space="preserve">», п.1 Постанови КМУ від 21.06.2017 року №439, відповідно уніфікованого клінічного протоколу допомоги на </w:t>
            </w:r>
            <w:r w:rsidR="00401B28" w:rsidRPr="00A00F46">
              <w:rPr>
                <w:rFonts w:ascii="Times New Roman" w:hAnsi="Times New Roman" w:cs="Times New Roman"/>
                <w:lang w:val="uk-UA"/>
              </w:rPr>
              <w:t xml:space="preserve">цукровий діабет необхідно обстеження хворих на цукровий діабет на </w:t>
            </w:r>
            <w:proofErr w:type="spellStart"/>
            <w:r w:rsidR="00401B28" w:rsidRPr="00A00F46">
              <w:rPr>
                <w:rFonts w:ascii="Times New Roman" w:hAnsi="Times New Roman" w:cs="Times New Roman"/>
                <w:lang w:val="uk-UA"/>
              </w:rPr>
              <w:t>глікований</w:t>
            </w:r>
            <w:proofErr w:type="spellEnd"/>
            <w:r w:rsidR="00401B28" w:rsidRPr="00A00F46">
              <w:rPr>
                <w:rFonts w:ascii="Times New Roman" w:hAnsi="Times New Roman" w:cs="Times New Roman"/>
                <w:lang w:val="uk-UA"/>
              </w:rPr>
              <w:t xml:space="preserve"> гемоглобін. У зв’язку з високою  вартістю витратних матеріалів, обстеження є платним. Враховуючи допомогу хворим на цукровий діабет та досвід лікарень Луганської області, обстеження на </w:t>
            </w:r>
            <w:proofErr w:type="spellStart"/>
            <w:r w:rsidR="00401B28" w:rsidRPr="00A00F46">
              <w:rPr>
                <w:rFonts w:ascii="Times New Roman" w:hAnsi="Times New Roman" w:cs="Times New Roman"/>
                <w:lang w:val="uk-UA"/>
              </w:rPr>
              <w:t>глікований</w:t>
            </w:r>
            <w:proofErr w:type="spellEnd"/>
            <w:r w:rsidR="00401B28" w:rsidRPr="00A00F46">
              <w:rPr>
                <w:rFonts w:ascii="Times New Roman" w:hAnsi="Times New Roman" w:cs="Times New Roman"/>
                <w:lang w:val="uk-UA"/>
              </w:rPr>
              <w:t xml:space="preserve"> гемоглобін проводять за рахунок місцевих бюджетів. Тому необ</w:t>
            </w:r>
            <w:r w:rsidR="00D55649" w:rsidRPr="00A00F46">
              <w:rPr>
                <w:rFonts w:ascii="Times New Roman" w:hAnsi="Times New Roman" w:cs="Times New Roman"/>
                <w:lang w:val="uk-UA"/>
              </w:rPr>
              <w:t xml:space="preserve">хідні додаткові кошти, з розрахунку на одного пацієнта – 1 обстеження </w:t>
            </w:r>
            <w:r w:rsidR="00D257DB" w:rsidRPr="00A00F46">
              <w:rPr>
                <w:rFonts w:ascii="Times New Roman" w:hAnsi="Times New Roman" w:cs="Times New Roman"/>
                <w:lang w:val="uk-UA"/>
              </w:rPr>
              <w:t>88,81</w:t>
            </w:r>
            <w:r w:rsidR="00D55649" w:rsidRPr="00A00F46">
              <w:rPr>
                <w:rFonts w:ascii="Times New Roman" w:hAnsi="Times New Roman" w:cs="Times New Roman"/>
                <w:lang w:val="uk-UA"/>
              </w:rPr>
              <w:t>грн.</w:t>
            </w:r>
          </w:p>
          <w:p w:rsidR="008C1EB3" w:rsidRPr="008C1EB3" w:rsidRDefault="008C1EB3" w:rsidP="008C1EB3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779BB" w:rsidRPr="00A00F46" w:rsidRDefault="007779BB" w:rsidP="00A00F46">
            <w:pPr>
              <w:pStyle w:val="a3"/>
              <w:numPr>
                <w:ilvl w:val="0"/>
                <w:numId w:val="4"/>
              </w:numPr>
              <w:spacing w:line="240" w:lineRule="auto"/>
              <w:ind w:left="-113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00F46">
              <w:rPr>
                <w:rFonts w:ascii="Times New Roman" w:hAnsi="Times New Roman" w:cs="Times New Roman"/>
                <w:lang w:val="uk-UA"/>
              </w:rPr>
              <w:t>5000,00грн. - На оплату послуг щодо висвітлення діяльності КУ «</w:t>
            </w:r>
            <w:proofErr w:type="spellStart"/>
            <w:r w:rsidRPr="00A00F46">
              <w:rPr>
                <w:rFonts w:ascii="Times New Roman" w:hAnsi="Times New Roman" w:cs="Times New Roman"/>
                <w:lang w:val="uk-UA"/>
              </w:rPr>
              <w:t>Попаснянська</w:t>
            </w:r>
            <w:proofErr w:type="spellEnd"/>
            <w:r w:rsidRPr="00A00F46">
              <w:rPr>
                <w:rFonts w:ascii="Times New Roman" w:hAnsi="Times New Roman" w:cs="Times New Roman"/>
                <w:lang w:val="uk-UA"/>
              </w:rPr>
              <w:t xml:space="preserve"> ЦРЛ» у газеті «</w:t>
            </w:r>
            <w:proofErr w:type="spellStart"/>
            <w:r w:rsidRPr="00A00F46">
              <w:rPr>
                <w:rFonts w:ascii="Times New Roman" w:hAnsi="Times New Roman" w:cs="Times New Roman"/>
                <w:lang w:val="uk-UA"/>
              </w:rPr>
              <w:t>Попаснянський</w:t>
            </w:r>
            <w:proofErr w:type="spellEnd"/>
            <w:r w:rsidRPr="00A00F4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00F46">
              <w:rPr>
                <w:rFonts w:ascii="Times New Roman" w:hAnsi="Times New Roman" w:cs="Times New Roman"/>
                <w:lang w:val="uk-UA"/>
              </w:rPr>
              <w:t>вістник</w:t>
            </w:r>
            <w:proofErr w:type="spellEnd"/>
            <w:r w:rsidRPr="00A00F46">
              <w:rPr>
                <w:rFonts w:ascii="Times New Roman" w:hAnsi="Times New Roman" w:cs="Times New Roman"/>
                <w:lang w:val="uk-UA"/>
              </w:rPr>
              <w:t>».</w:t>
            </w:r>
            <w:r w:rsidR="008C1EB3">
              <w:rPr>
                <w:rFonts w:ascii="Times New Roman" w:hAnsi="Times New Roman" w:cs="Times New Roman"/>
                <w:lang w:val="uk-UA"/>
              </w:rPr>
              <w:t xml:space="preserve"> Медичну діяльність закладу охорони </w:t>
            </w:r>
            <w:proofErr w:type="spellStart"/>
            <w:r w:rsidR="008C1EB3">
              <w:rPr>
                <w:rFonts w:ascii="Times New Roman" w:hAnsi="Times New Roman" w:cs="Times New Roman"/>
                <w:lang w:val="uk-UA"/>
              </w:rPr>
              <w:t>здоров</w:t>
            </w:r>
            <w:proofErr w:type="spellEnd"/>
            <w:r w:rsidR="008C1EB3">
              <w:rPr>
                <w:rFonts w:ascii="Times New Roman" w:hAnsi="Times New Roman" w:cs="Times New Roman"/>
                <w:lang w:val="en-US"/>
              </w:rPr>
              <w:t>’</w:t>
            </w:r>
            <w:r w:rsidR="008C1EB3">
              <w:rPr>
                <w:rFonts w:ascii="Times New Roman" w:hAnsi="Times New Roman" w:cs="Times New Roman"/>
                <w:lang w:val="uk-UA"/>
              </w:rPr>
              <w:t xml:space="preserve">я </w:t>
            </w:r>
            <w:r w:rsidR="008C1EB3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="008C1EB3">
              <w:rPr>
                <w:rFonts w:ascii="Times New Roman" w:hAnsi="Times New Roman" w:cs="Times New Roman"/>
                <w:lang w:val="uk-UA"/>
              </w:rPr>
              <w:t>пеціалісти</w:t>
            </w:r>
            <w:proofErr w:type="spellEnd"/>
            <w:r w:rsidR="008C1EB3">
              <w:rPr>
                <w:rFonts w:ascii="Times New Roman" w:hAnsi="Times New Roman" w:cs="Times New Roman"/>
                <w:lang w:val="uk-UA"/>
              </w:rPr>
              <w:t xml:space="preserve"> висвітлюють в засобах масової інформації, щодо профілактики та недопущення тяжких захворювань серед населення </w:t>
            </w:r>
            <w:proofErr w:type="spellStart"/>
            <w:r w:rsidR="008C1EB3">
              <w:rPr>
                <w:rFonts w:ascii="Times New Roman" w:hAnsi="Times New Roman" w:cs="Times New Roman"/>
                <w:lang w:val="uk-UA"/>
              </w:rPr>
              <w:t>Попасняського</w:t>
            </w:r>
            <w:proofErr w:type="spellEnd"/>
            <w:r w:rsidR="008C1EB3">
              <w:rPr>
                <w:rFonts w:ascii="Times New Roman" w:hAnsi="Times New Roman" w:cs="Times New Roman"/>
                <w:lang w:val="uk-UA"/>
              </w:rPr>
              <w:t xml:space="preserve"> району.</w:t>
            </w:r>
          </w:p>
          <w:p w:rsidR="007779BB" w:rsidRPr="00A00F46" w:rsidRDefault="007779BB" w:rsidP="00A00F46">
            <w:pPr>
              <w:pStyle w:val="a3"/>
              <w:rPr>
                <w:sz w:val="28"/>
                <w:szCs w:val="28"/>
                <w:lang w:val="uk-UA"/>
              </w:rPr>
            </w:pPr>
          </w:p>
          <w:p w:rsidR="007779BB" w:rsidRPr="00A00F46" w:rsidRDefault="007779BB" w:rsidP="00A00F46">
            <w:pPr>
              <w:pStyle w:val="a3"/>
              <w:numPr>
                <w:ilvl w:val="0"/>
                <w:numId w:val="4"/>
              </w:numPr>
              <w:spacing w:line="240" w:lineRule="auto"/>
              <w:ind w:left="-113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00F46">
              <w:rPr>
                <w:sz w:val="28"/>
                <w:szCs w:val="28"/>
                <w:lang w:val="uk-UA"/>
              </w:rPr>
              <w:t xml:space="preserve"> </w:t>
            </w:r>
            <w:r w:rsidRPr="00A00F4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E4BBD" w:rsidRPr="00A00F46">
              <w:rPr>
                <w:rFonts w:ascii="Times New Roman" w:hAnsi="Times New Roman" w:cs="Times New Roman"/>
                <w:lang w:val="uk-UA"/>
              </w:rPr>
              <w:t>Зняти 950925,00грн., Відповідно до внесених змін до Типової програмної класифікації видатків та кредитування місцевих бюджетів</w:t>
            </w:r>
          </w:p>
          <w:p w:rsidR="005E4BBD" w:rsidRPr="00A00F46" w:rsidRDefault="005E4BBD" w:rsidP="00A00F46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  <w:p w:rsidR="005E4BBD" w:rsidRPr="003075CC" w:rsidRDefault="005E4BBD" w:rsidP="003075CC">
            <w:pPr>
              <w:pStyle w:val="a3"/>
              <w:numPr>
                <w:ilvl w:val="0"/>
                <w:numId w:val="4"/>
              </w:numPr>
              <w:spacing w:line="240" w:lineRule="auto"/>
              <w:ind w:left="-113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00F46">
              <w:rPr>
                <w:rFonts w:ascii="Times New Roman" w:hAnsi="Times New Roman" w:cs="Times New Roman"/>
                <w:lang w:val="uk-UA"/>
              </w:rPr>
              <w:t>Додати 950925,00грн., Відповідно до внесених змін до Типової програмної класифікації видатків та кредитування місцевих бюджетів</w:t>
            </w:r>
          </w:p>
        </w:tc>
      </w:tr>
    </w:tbl>
    <w:p w:rsidR="000E4A84" w:rsidRDefault="000E4A84" w:rsidP="000E4A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A84" w:rsidRPr="000E4A84" w:rsidRDefault="000E4A84" w:rsidP="000E4A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A84" w:rsidRDefault="000E4A84" w:rsidP="000E4A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4A84" w:rsidRDefault="000E4A84" w:rsidP="000E4A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                                                                            Н.І.  Кацарська</w:t>
      </w:r>
    </w:p>
    <w:p w:rsidR="000E4A84" w:rsidRPr="000E4A84" w:rsidRDefault="000E4A84" w:rsidP="000E4A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бухгалтер                                                          О.П. Кострова</w:t>
      </w:r>
    </w:p>
    <w:sectPr w:rsidR="000E4A84" w:rsidRPr="000E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2B4"/>
    <w:multiLevelType w:val="hybridMultilevel"/>
    <w:tmpl w:val="B0E28372"/>
    <w:lvl w:ilvl="0" w:tplc="713A550A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19A708E"/>
    <w:multiLevelType w:val="hybridMultilevel"/>
    <w:tmpl w:val="1E169E2A"/>
    <w:lvl w:ilvl="0" w:tplc="AB882A1E">
      <w:numFmt w:val="bullet"/>
      <w:lvlText w:val="-"/>
      <w:lvlJc w:val="left"/>
      <w:pPr>
        <w:ind w:left="38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" w15:restartNumberingAfterBreak="0">
    <w:nsid w:val="15D966F0"/>
    <w:multiLevelType w:val="hybridMultilevel"/>
    <w:tmpl w:val="A1389100"/>
    <w:lvl w:ilvl="0" w:tplc="B58E947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3" w15:restartNumberingAfterBreak="0">
    <w:nsid w:val="2C9F1AC0"/>
    <w:multiLevelType w:val="hybridMultilevel"/>
    <w:tmpl w:val="488235F0"/>
    <w:lvl w:ilvl="0" w:tplc="5DD2BBA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2503D"/>
    <w:multiLevelType w:val="hybridMultilevel"/>
    <w:tmpl w:val="6164C62A"/>
    <w:lvl w:ilvl="0" w:tplc="075E11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3170C"/>
    <w:multiLevelType w:val="hybridMultilevel"/>
    <w:tmpl w:val="51825BFA"/>
    <w:lvl w:ilvl="0" w:tplc="11761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7F"/>
    <w:rsid w:val="000E4A84"/>
    <w:rsid w:val="00106F36"/>
    <w:rsid w:val="00122073"/>
    <w:rsid w:val="001C693F"/>
    <w:rsid w:val="003075CC"/>
    <w:rsid w:val="00401B28"/>
    <w:rsid w:val="005E4BBD"/>
    <w:rsid w:val="007779BB"/>
    <w:rsid w:val="00807435"/>
    <w:rsid w:val="00831B35"/>
    <w:rsid w:val="008C1EB3"/>
    <w:rsid w:val="00A00F46"/>
    <w:rsid w:val="00B6218D"/>
    <w:rsid w:val="00D257DB"/>
    <w:rsid w:val="00D55649"/>
    <w:rsid w:val="00DE327F"/>
    <w:rsid w:val="00E15F8A"/>
    <w:rsid w:val="00ED1337"/>
    <w:rsid w:val="00E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92F3"/>
  <w15:chartTrackingRefBased/>
  <w15:docId w15:val="{F76BED0F-13FC-4A5A-9A91-BFBB6E76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9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1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2019-03-19T06:28:00Z</cp:lastPrinted>
  <dcterms:created xsi:type="dcterms:W3CDTF">2019-03-13T14:39:00Z</dcterms:created>
  <dcterms:modified xsi:type="dcterms:W3CDTF">2019-03-19T06:28:00Z</dcterms:modified>
</cp:coreProperties>
</file>