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2"/>
        <w:gridCol w:w="6775"/>
      </w:tblGrid>
      <w:tr w:rsidR="008120E7" w:rsidRPr="00BA5B67" w:rsidTr="004B515E">
        <w:trPr>
          <w:trHeight w:val="2757"/>
          <w:tblCellSpacing w:w="22" w:type="dxa"/>
          <w:jc w:val="center"/>
        </w:trPr>
        <w:tc>
          <w:tcPr>
            <w:tcW w:w="266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    </w:t>
            </w:r>
          </w:p>
        </w:tc>
        <w:tc>
          <w:tcPr>
            <w:tcW w:w="2287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13"/>
            </w:tblGrid>
            <w:tr w:rsidR="008120E7" w:rsidRPr="00BA5B67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120E7" w:rsidRPr="008120E7" w:rsidRDefault="008120E7" w:rsidP="00BA5B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ind w:firstLine="43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 культури, молоді, спорту та освіти  Попаснянської районної  державної адміністрації    від </w:t>
            </w:r>
            <w:r w:rsidR="00BA5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27 серпня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2020 рік №</w:t>
            </w:r>
            <w:r w:rsidR="00BA5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55</w:t>
            </w:r>
            <w:bookmarkStart w:id="0" w:name="_GoBack"/>
            <w:bookmarkEnd w:id="0"/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20E7" w:rsidRPr="008120E7" w:rsidRDefault="008120E7" w:rsidP="008120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120E7" w:rsidRPr="00BA5B67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>Відділ культури, молоді, спорту та освіти  Попаснянської районної державної адміністрації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8120E7" w:rsidRPr="008120E7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</w:t>
            </w: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8120E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02227156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відповідального виконавця)                                                                                                             (код за ЄДРПОУ)</w:t>
            </w:r>
          </w:p>
        </w:tc>
      </w:tr>
    </w:tbl>
    <w:tbl>
      <w:tblPr>
        <w:tblW w:w="15311" w:type="dxa"/>
        <w:jc w:val="center"/>
        <w:tblCellSpacing w:w="22" w:type="dxa"/>
        <w:tblInd w:w="3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1"/>
      </w:tblGrid>
      <w:tr w:rsidR="005414E5" w:rsidRPr="005414E5" w:rsidTr="00A318A9">
        <w:trPr>
          <w:tblCellSpacing w:w="22" w:type="dxa"/>
          <w:jc w:val="center"/>
        </w:trPr>
        <w:tc>
          <w:tcPr>
            <w:tcW w:w="4971" w:type="pct"/>
          </w:tcPr>
          <w:p w:rsidR="008120E7" w:rsidRDefault="008120E7" w:rsidP="00DD6AD1">
            <w:pPr>
              <w:pStyle w:val="a4"/>
              <w:rPr>
                <w:lang w:val="uk-UA"/>
              </w:rPr>
            </w:pPr>
          </w:p>
          <w:p w:rsidR="005414E5" w:rsidRPr="00DD6AD1" w:rsidRDefault="008120E7" w:rsidP="00DD6AD1">
            <w:pPr>
              <w:pStyle w:val="a4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 3.</w:t>
            </w:r>
            <w:r w:rsidR="00603569" w:rsidRPr="00603569">
              <w:rPr>
                <w:lang w:val="uk-UA"/>
              </w:rPr>
              <w:t xml:space="preserve">    </w:t>
            </w:r>
            <w:r w:rsidR="00603569">
              <w:rPr>
                <w:lang w:val="uk-UA"/>
              </w:rPr>
              <w:t xml:space="preserve">              </w:t>
            </w:r>
            <w:r w:rsidRPr="00603569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0</w:t>
            </w:r>
            <w:r w:rsidRPr="00DD6AD1">
              <w:rPr>
                <w:u w:val="single"/>
                <w:lang w:val="uk-UA"/>
              </w:rPr>
              <w:t>11090</w:t>
            </w:r>
            <w:r w:rsidRPr="00294460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 xml:space="preserve">    </w:t>
            </w:r>
            <w:r w:rsidRPr="00DD6AD1">
              <w:rPr>
                <w:u w:val="single"/>
                <w:lang w:val="uk-UA"/>
              </w:rPr>
              <w:t>1090</w:t>
            </w:r>
            <w:r w:rsidR="005414E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</w:t>
            </w:r>
            <w:r w:rsidR="005414E5">
              <w:rPr>
                <w:lang w:val="uk-UA"/>
              </w:rPr>
              <w:t xml:space="preserve"> 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Надання позашкільної освіти  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>закладами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позашкільними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освіти, заходи із позашкільної  роботи з дітьми</w:t>
            </w:r>
            <w:r w:rsidR="005414E5" w:rsidRPr="00DD6AD1">
              <w:rPr>
                <w:u w:val="single"/>
                <w:lang w:val="uk-UA"/>
              </w:rPr>
              <w:t xml:space="preserve">            </w:t>
            </w:r>
          </w:p>
          <w:p w:rsidR="005414E5" w:rsidRPr="00294460" w:rsidRDefault="005414E5" w:rsidP="00DD6AD1">
            <w:pPr>
              <w:pStyle w:val="a4"/>
              <w:rPr>
                <w:lang w:val="uk-UA"/>
              </w:rPr>
            </w:pPr>
            <w:r w:rsidRPr="00294460">
              <w:rPr>
                <w:lang w:val="uk-UA"/>
              </w:rPr>
              <w:t xml:space="preserve">                                    </w:t>
            </w:r>
            <w:r>
              <w:rPr>
                <w:lang w:val="uk-UA"/>
              </w:rPr>
              <w:t xml:space="preserve"> </w:t>
            </w:r>
            <w:r w:rsidRPr="00294460">
              <w:rPr>
                <w:lang w:val="uk-UA"/>
              </w:rPr>
              <w:t xml:space="preserve">  </w:t>
            </w:r>
            <w:r w:rsidR="00DD6AD1">
              <w:rPr>
                <w:lang w:val="uk-UA"/>
              </w:rPr>
              <w:t xml:space="preserve">   </w:t>
            </w:r>
            <w:r w:rsidR="00E14032">
              <w:rPr>
                <w:lang w:val="uk-UA"/>
              </w:rPr>
              <w:t xml:space="preserve">       </w:t>
            </w:r>
            <w:r w:rsidR="00603569">
              <w:rPr>
                <w:lang w:val="uk-UA"/>
              </w:rPr>
              <w:t xml:space="preserve">                                    </w:t>
            </w:r>
            <w:r w:rsidR="00E14032">
              <w:rPr>
                <w:lang w:val="uk-UA"/>
              </w:rPr>
              <w:t xml:space="preserve">   </w:t>
            </w:r>
            <w:r w:rsidR="00DD6AD1">
              <w:rPr>
                <w:lang w:val="uk-UA"/>
              </w:rPr>
              <w:t xml:space="preserve">  </w:t>
            </w:r>
            <w:r w:rsidRPr="00294460">
              <w:rPr>
                <w:lang w:val="uk-UA"/>
              </w:rPr>
              <w:t xml:space="preserve">  </w:t>
            </w:r>
            <w:r w:rsidRPr="00DD6AD1">
              <w:rPr>
                <w:sz w:val="20"/>
                <w:szCs w:val="20"/>
                <w:lang w:val="uk-UA"/>
              </w:rPr>
              <w:t>(найменування бюджетної програми)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4. Обсяг бюджетних призначень / бюджетних асигнувань –</w:t>
            </w:r>
            <w:r w:rsidR="00335E9D">
              <w:rPr>
                <w:lang w:val="uk-UA"/>
              </w:rPr>
              <w:t>2263019</w:t>
            </w:r>
            <w:r w:rsidR="008120E7">
              <w:rPr>
                <w:lang w:val="uk-UA"/>
              </w:rPr>
              <w:t>,00</w:t>
            </w:r>
            <w:r w:rsidRPr="008C4613">
              <w:rPr>
                <w:lang w:val="uk-UA"/>
              </w:rPr>
              <w:t xml:space="preserve"> гривень, у тому числі загального фонду </w:t>
            </w:r>
            <w:r w:rsidR="00335E9D">
              <w:rPr>
                <w:lang w:val="uk-UA"/>
              </w:rPr>
              <w:t>–</w:t>
            </w:r>
            <w:r w:rsidR="008120E7">
              <w:rPr>
                <w:lang w:val="uk-UA"/>
              </w:rPr>
              <w:t xml:space="preserve"> </w:t>
            </w:r>
            <w:r w:rsidR="00335E9D">
              <w:rPr>
                <w:lang w:val="uk-UA"/>
              </w:rPr>
              <w:t>1495119,</w:t>
            </w:r>
            <w:r w:rsidR="008120E7">
              <w:rPr>
                <w:lang w:val="uk-UA"/>
              </w:rPr>
              <w:t>00</w:t>
            </w:r>
            <w:r w:rsidRPr="008C4613">
              <w:rPr>
                <w:lang w:val="uk-UA"/>
              </w:rPr>
              <w:t xml:space="preserve"> гривень та спеціального фонду –  </w:t>
            </w:r>
            <w:r w:rsidR="00335E9D">
              <w:rPr>
                <w:lang w:val="uk-UA"/>
              </w:rPr>
              <w:t>767900</w:t>
            </w:r>
            <w:r w:rsidRPr="008C4613">
              <w:rPr>
                <w:lang w:val="uk-UA"/>
              </w:rPr>
              <w:t>,00 гривень.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5. Підстави для виконання бюджетної програми</w:t>
            </w:r>
          </w:p>
          <w:p w:rsidR="008120E7" w:rsidRDefault="005414E5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  <w:r w:rsidRPr="00294460">
              <w:rPr>
                <w:sz w:val="20"/>
                <w:szCs w:val="20"/>
                <w:shd w:val="clear" w:color="auto" w:fill="FFFFFF"/>
                <w:lang w:val="uk-UA"/>
              </w:rPr>
              <w:t xml:space="preserve">    </w:t>
            </w:r>
            <w:r w:rsidRPr="003E5527">
              <w:rPr>
                <w:sz w:val="16"/>
                <w:szCs w:val="16"/>
                <w:shd w:val="clear" w:color="auto" w:fill="FFFFFF"/>
                <w:lang w:val="uk-UA"/>
              </w:rPr>
              <w:t xml:space="preserve">   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8120E7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>,Закони України «Про освіту»від05.09.2017р.№2145-</w:t>
            </w:r>
            <w:r w:rsidRPr="008120E7">
              <w:rPr>
                <w:sz w:val="22"/>
                <w:szCs w:val="22"/>
                <w:u w:val="single"/>
                <w:lang w:val="en-US"/>
              </w:rPr>
              <w:t>VI</w:t>
            </w:r>
            <w:r w:rsidRPr="008120E7">
              <w:rPr>
                <w:sz w:val="22"/>
                <w:szCs w:val="22"/>
                <w:u w:val="single"/>
                <w:lang w:val="uk-UA"/>
              </w:rPr>
              <w:t>II,«Про позашкільну освіту» від 22.06.2000р. №1841-III(із змінами),наказ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26.08.2014р.№836(із змінами)</w:t>
            </w:r>
            <w:r w:rsidRPr="008120E7">
              <w:rPr>
                <w:sz w:val="22"/>
                <w:szCs w:val="22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 xml:space="preserve"> 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"Освіта".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Розпорядження  голови_райдержадміністрації_- керівника районної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військово-цивільної адміністрації від </w:t>
            </w:r>
            <w:r w:rsidR="00335E9D">
              <w:rPr>
                <w:sz w:val="22"/>
                <w:szCs w:val="22"/>
                <w:u w:val="single"/>
                <w:lang w:val="uk-UA"/>
              </w:rPr>
              <w:t>12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.08.2020 року № </w:t>
            </w:r>
            <w:r w:rsidR="00335E9D">
              <w:rPr>
                <w:sz w:val="22"/>
                <w:szCs w:val="22"/>
                <w:u w:val="single"/>
                <w:lang w:val="uk-UA"/>
              </w:rPr>
              <w:t>969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 « Про внесення змін до розпорядження  голови_райдержадміністрації_- керівника районної військово-цивільної адміністрації від 19.12.2019 року № 2035 «Про районний бюджет на 2020 рік».</w:t>
            </w:r>
          </w:p>
          <w:p w:rsidR="008120E7" w:rsidRPr="008120E7" w:rsidRDefault="008120E7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 xml:space="preserve">6. </w:t>
            </w:r>
            <w:r w:rsidR="00603569">
              <w:rPr>
                <w:b/>
                <w:lang w:val="uk-UA"/>
              </w:rPr>
              <w:t xml:space="preserve"> </w:t>
            </w:r>
            <w:r w:rsidRPr="00E14032">
              <w:rPr>
                <w:b/>
                <w:lang w:val="uk-UA"/>
              </w:rPr>
              <w:t>Цілі державної політики, на досягнення яких спрямована реалізація бюджетної програми</w:t>
            </w:r>
          </w:p>
          <w:p w:rsidR="00E14032" w:rsidRPr="005414E5" w:rsidRDefault="00E14032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Задоволення потреб дівчат і хлопців у сфері позашкільної освіти з урахуванням їх віку та місця проживання</w:t>
            </w:r>
          </w:p>
          <w:p w:rsidR="00E14032" w:rsidRDefault="00E14032" w:rsidP="008C4613">
            <w:pPr>
              <w:pStyle w:val="a4"/>
              <w:rPr>
                <w:b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 xml:space="preserve">7. </w:t>
            </w:r>
            <w:r w:rsidR="00603569">
              <w:rPr>
                <w:b/>
                <w:lang w:val="uk-UA"/>
              </w:rPr>
              <w:t xml:space="preserve"> </w:t>
            </w:r>
            <w:r w:rsidRPr="00E14032">
              <w:rPr>
                <w:b/>
                <w:lang w:val="uk-UA"/>
              </w:rPr>
              <w:t>Мета бюджетної програми:</w:t>
            </w:r>
          </w:p>
          <w:p w:rsidR="00C5579F" w:rsidRPr="005414E5" w:rsidRDefault="00E14032" w:rsidP="005414E5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Створення умов для надання позашкільної освіти позашкільними закладами освіти,виконання заходів із позашкільної роботи з дітьми.</w:t>
            </w:r>
          </w:p>
          <w:p w:rsidR="00E14032" w:rsidRDefault="00E14032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8. Завдання бюджетної програми</w:t>
            </w:r>
          </w:p>
          <w:p w:rsid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60"/>
              <w:gridCol w:w="12839"/>
            </w:tblGrid>
            <w:tr w:rsidR="005414E5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12839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Завдання:</w:t>
                  </w:r>
                </w:p>
              </w:tc>
            </w:tr>
            <w:tr w:rsidR="005414E5" w:rsidRPr="00BA5B67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2839" w:type="dxa"/>
                </w:tcPr>
                <w:p w:rsidR="005414E5" w:rsidRDefault="005414E5" w:rsidP="005414E5">
                  <w:pPr>
                    <w:pStyle w:val="a4"/>
                    <w:rPr>
                      <w:lang w:val="uk-UA"/>
                    </w:rPr>
                  </w:pPr>
                  <w:r w:rsidRPr="00294460">
                    <w:rPr>
                      <w:lang w:val="uk-UA"/>
                    </w:rPr>
                    <w:t>Задоволення потреб дівчат і хлопців у сфері позашкільної освіти з урахуванням їх віку та місця</w:t>
                  </w:r>
                  <w:r>
                    <w:rPr>
                      <w:lang w:val="uk-UA"/>
                    </w:rPr>
                    <w:t xml:space="preserve"> </w:t>
                  </w:r>
                  <w:r w:rsidRPr="00294460">
                    <w:rPr>
                      <w:lang w:val="uk-UA"/>
                    </w:rPr>
                    <w:t>проживання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t>9. Напрями використання бюджетних коштів: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5648"/>
              <w:gridCol w:w="2577"/>
              <w:gridCol w:w="2507"/>
              <w:gridCol w:w="2966"/>
            </w:tblGrid>
            <w:tr w:rsidR="005414E5" w:rsidTr="005414E5">
              <w:tc>
                <w:tcPr>
                  <w:tcW w:w="1106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5648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Напрями використання бюджетних коштів</w:t>
                  </w:r>
                </w:p>
              </w:tc>
              <w:tc>
                <w:tcPr>
                  <w:tcW w:w="257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0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66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</w:t>
                  </w:r>
                </w:p>
              </w:tc>
            </w:tr>
            <w:tr w:rsidR="00603569" w:rsidTr="005414E5">
              <w:tc>
                <w:tcPr>
                  <w:tcW w:w="1106" w:type="dxa"/>
                </w:tcPr>
                <w:p w:rsidR="00603569" w:rsidRDefault="00603569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48" w:type="dxa"/>
                </w:tcPr>
                <w:p w:rsidR="00603569" w:rsidRDefault="00603569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Забезпечення належного утримання працівників установи(оплата праці з нарахуванням)</w:t>
                  </w:r>
                </w:p>
              </w:tc>
              <w:tc>
                <w:tcPr>
                  <w:tcW w:w="2577" w:type="dxa"/>
                </w:tcPr>
                <w:p w:rsidR="00603569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824692</w:t>
                  </w:r>
                </w:p>
              </w:tc>
              <w:tc>
                <w:tcPr>
                  <w:tcW w:w="2507" w:type="dxa"/>
                </w:tcPr>
                <w:p w:rsidR="00603569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603569" w:rsidRDefault="00603569" w:rsidP="004B515E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824692</w:t>
                  </w:r>
                </w:p>
              </w:tc>
            </w:tr>
            <w:tr w:rsidR="00603569" w:rsidTr="005414E5">
              <w:tc>
                <w:tcPr>
                  <w:tcW w:w="1106" w:type="dxa"/>
                </w:tcPr>
                <w:p w:rsidR="00603569" w:rsidRDefault="00603569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48" w:type="dxa"/>
                </w:tcPr>
                <w:p w:rsidR="00603569" w:rsidRDefault="00603569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Створення належних умов для функціонування установи та діяльності працівників(всі незахищені статті видатків)</w:t>
                  </w:r>
                </w:p>
              </w:tc>
              <w:tc>
                <w:tcPr>
                  <w:tcW w:w="2577" w:type="dxa"/>
                </w:tcPr>
                <w:p w:rsidR="00603569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497298</w:t>
                  </w:r>
                </w:p>
              </w:tc>
              <w:tc>
                <w:tcPr>
                  <w:tcW w:w="2507" w:type="dxa"/>
                </w:tcPr>
                <w:p w:rsidR="00603569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603569" w:rsidRDefault="00335E9D" w:rsidP="004B515E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497298</w:t>
                  </w:r>
                </w:p>
              </w:tc>
            </w:tr>
            <w:tr w:rsidR="005414E5" w:rsidTr="005414E5">
              <w:tc>
                <w:tcPr>
                  <w:tcW w:w="1106" w:type="dxa"/>
                </w:tcPr>
                <w:p w:rsidR="005414E5" w:rsidRDefault="005414E5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48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Розрахунки за енергоносії та комунальні послуги</w:t>
                  </w:r>
                </w:p>
              </w:tc>
              <w:tc>
                <w:tcPr>
                  <w:tcW w:w="2577" w:type="dxa"/>
                </w:tcPr>
                <w:p w:rsidR="005414E5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173129</w:t>
                  </w:r>
                </w:p>
              </w:tc>
              <w:tc>
                <w:tcPr>
                  <w:tcW w:w="2507" w:type="dxa"/>
                </w:tcPr>
                <w:p w:rsidR="005414E5" w:rsidRDefault="005414E5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5414E5" w:rsidRDefault="006D343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173129</w:t>
                  </w:r>
                </w:p>
              </w:tc>
            </w:tr>
            <w:tr w:rsidR="00335E9D" w:rsidTr="005414E5">
              <w:tc>
                <w:tcPr>
                  <w:tcW w:w="1106" w:type="dxa"/>
                </w:tcPr>
                <w:p w:rsidR="00335E9D" w:rsidRDefault="00335E9D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5648" w:type="dxa"/>
                </w:tcPr>
                <w:p w:rsidR="00335E9D" w:rsidRPr="00294460" w:rsidRDefault="00335E9D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335E9D">
                    <w:rPr>
                      <w:sz w:val="20"/>
                      <w:szCs w:val="20"/>
                    </w:rPr>
                    <w:t>Придбання предметів та обладнання довгострокового користування</w:t>
                  </w:r>
                </w:p>
              </w:tc>
              <w:tc>
                <w:tcPr>
                  <w:tcW w:w="2577" w:type="dxa"/>
                </w:tcPr>
                <w:p w:rsidR="00335E9D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507" w:type="dxa"/>
                </w:tcPr>
                <w:p w:rsidR="00335E9D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767900</w:t>
                  </w:r>
                </w:p>
              </w:tc>
              <w:tc>
                <w:tcPr>
                  <w:tcW w:w="2966" w:type="dxa"/>
                </w:tcPr>
                <w:p w:rsidR="00335E9D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767900</w:t>
                  </w:r>
                </w:p>
              </w:tc>
            </w:tr>
            <w:tr w:rsidR="005414E5" w:rsidTr="002637A8">
              <w:tc>
                <w:tcPr>
                  <w:tcW w:w="6754" w:type="dxa"/>
                  <w:gridSpan w:val="2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Усього:</w:t>
                  </w:r>
                </w:p>
              </w:tc>
              <w:tc>
                <w:tcPr>
                  <w:tcW w:w="2577" w:type="dxa"/>
                </w:tcPr>
                <w:p w:rsidR="005414E5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1495119</w:t>
                  </w:r>
                </w:p>
              </w:tc>
              <w:tc>
                <w:tcPr>
                  <w:tcW w:w="2507" w:type="dxa"/>
                </w:tcPr>
                <w:p w:rsidR="005414E5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767900</w:t>
                  </w:r>
                </w:p>
              </w:tc>
              <w:tc>
                <w:tcPr>
                  <w:tcW w:w="2966" w:type="dxa"/>
                </w:tcPr>
                <w:p w:rsidR="005414E5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2263019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A318A9" w:rsidP="008C4613">
            <w:pPr>
              <w:pStyle w:val="a4"/>
              <w:rPr>
                <w:lang w:val="uk-UA"/>
              </w:rPr>
            </w:pPr>
            <w:r w:rsidRPr="00A318A9">
              <w:t>10. Перелік місцевих/регіональних програм, що виконуються у складі бюджетної програми: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496"/>
              <w:gridCol w:w="2835"/>
              <w:gridCol w:w="2552"/>
              <w:gridCol w:w="2916"/>
            </w:tblGrid>
            <w:tr w:rsidR="00A318A9" w:rsidTr="00A318A9">
              <w:tc>
                <w:tcPr>
                  <w:tcW w:w="649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2835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52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1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</w:tr>
            <w:tr w:rsidR="00A318A9" w:rsidTr="00A318A9">
              <w:tc>
                <w:tcPr>
                  <w:tcW w:w="649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1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A318A9" w:rsidTr="00A318A9">
              <w:tc>
                <w:tcPr>
                  <w:tcW w:w="649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2835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552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1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8C4613" w:rsidRDefault="008C4613" w:rsidP="008C4613">
            <w:pPr>
              <w:pStyle w:val="a4"/>
              <w:rPr>
                <w:lang w:val="uk-UA"/>
              </w:rPr>
            </w:pPr>
            <w:r w:rsidRPr="008C4613">
              <w:rPr>
                <w:lang w:val="uk-UA"/>
              </w:rPr>
              <w:t>11.Результативні показники бюджетної програми:</w:t>
            </w:r>
          </w:p>
          <w:p w:rsidR="00C5579F" w:rsidRPr="008C4613" w:rsidRDefault="00C5579F" w:rsidP="008C4613">
            <w:pPr>
              <w:pStyle w:val="a4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8"/>
        <w:gridCol w:w="1136"/>
        <w:gridCol w:w="2272"/>
        <w:gridCol w:w="2101"/>
        <w:gridCol w:w="2124"/>
        <w:gridCol w:w="2736"/>
      </w:tblGrid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Показник</w:t>
            </w:r>
          </w:p>
        </w:tc>
        <w:tc>
          <w:tcPr>
            <w:tcW w:w="390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780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 xml:space="preserve">Джерело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інформації</w:t>
            </w:r>
          </w:p>
        </w:tc>
        <w:tc>
          <w:tcPr>
            <w:tcW w:w="72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Загальний фонд</w:t>
            </w:r>
          </w:p>
        </w:tc>
        <w:tc>
          <w:tcPr>
            <w:tcW w:w="729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39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A318A9" w:rsidRPr="00294460" w:rsidTr="008C4613">
        <w:trPr>
          <w:trHeight w:val="60"/>
        </w:trPr>
        <w:tc>
          <w:tcPr>
            <w:tcW w:w="5000" w:type="pct"/>
            <w:gridSpan w:val="6"/>
            <w:shd w:val="clear" w:color="auto" w:fill="auto"/>
          </w:tcPr>
          <w:p w:rsidR="00A318A9" w:rsidRPr="008C4613" w:rsidRDefault="00A318A9" w:rsidP="00A318A9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 Забезпечити залучення та надання належних умов виховання дітей в умовах позашкільної освіти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294460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</w:tr>
      <w:tr w:rsidR="00C553BC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середньорічне число посадових окладів (ставок) педагогічного персоналу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C553BC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віднесених до пед.. працівників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</w:tr>
      <w:tr w:rsidR="00C553BC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робітників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</w:tr>
      <w:tr w:rsidR="00C553BC" w:rsidRPr="00294460" w:rsidTr="006D343D">
        <w:trPr>
          <w:trHeight w:val="497"/>
        </w:trPr>
        <w:tc>
          <w:tcPr>
            <w:tcW w:w="1441" w:type="pct"/>
            <w:shd w:val="clear" w:color="auto" w:fill="auto"/>
          </w:tcPr>
          <w:p w:rsidR="00C553BC" w:rsidRPr="008C4613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всього – середньорічна кількість ставок (штатних одиниць)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дітей, які отримують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осіб </w:t>
            </w: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F30F45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гуртків усього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29446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6D343D">
        <w:trPr>
          <w:trHeight w:val="64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Військово –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Соціально-реабілітаційний напрямок 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Фізкультурно-спортивний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 Витрати на 1 дитину, яка отримає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2694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1384</w:t>
            </w:r>
          </w:p>
        </w:tc>
        <w:tc>
          <w:tcPr>
            <w:tcW w:w="939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4078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 xml:space="preserve"> Витрати по напрямкам гуртків 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80817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41508</w:t>
            </w:r>
          </w:p>
        </w:tc>
        <w:tc>
          <w:tcPr>
            <w:tcW w:w="939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122325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808172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415081</w:t>
            </w:r>
          </w:p>
        </w:tc>
        <w:tc>
          <w:tcPr>
            <w:tcW w:w="939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1223253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 військово -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40409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20754</w:t>
            </w:r>
          </w:p>
        </w:tc>
        <w:tc>
          <w:tcPr>
            <w:tcW w:w="939" w:type="pct"/>
            <w:shd w:val="clear" w:color="auto" w:fill="auto"/>
          </w:tcPr>
          <w:p w:rsidR="006D343D" w:rsidRPr="002476BB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61163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соціально-реабілітаційний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581137" w:rsidP="006D343D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161634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83016</w:t>
            </w:r>
          </w:p>
        </w:tc>
        <w:tc>
          <w:tcPr>
            <w:tcW w:w="939" w:type="pct"/>
            <w:shd w:val="clear" w:color="auto" w:fill="auto"/>
          </w:tcPr>
          <w:p w:rsidR="006D343D" w:rsidRPr="002476BB" w:rsidRDefault="00581137" w:rsidP="006D343D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244650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lastRenderedPageBreak/>
              <w:t>Витрати по напрямкам гуртків 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94460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282860</w:t>
            </w:r>
          </w:p>
        </w:tc>
        <w:tc>
          <w:tcPr>
            <w:tcW w:w="729" w:type="pct"/>
            <w:shd w:val="clear" w:color="auto" w:fill="auto"/>
          </w:tcPr>
          <w:p w:rsidR="006D343D" w:rsidRPr="00294460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145278</w:t>
            </w:r>
          </w:p>
        </w:tc>
        <w:tc>
          <w:tcPr>
            <w:tcW w:w="939" w:type="pct"/>
            <w:shd w:val="clear" w:color="auto" w:fill="auto"/>
          </w:tcPr>
          <w:p w:rsidR="006D343D" w:rsidRPr="00294460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428138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Витрати по напрямкам гуртків 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94460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40409</w:t>
            </w:r>
          </w:p>
        </w:tc>
        <w:tc>
          <w:tcPr>
            <w:tcW w:w="729" w:type="pct"/>
            <w:shd w:val="clear" w:color="auto" w:fill="auto"/>
          </w:tcPr>
          <w:p w:rsidR="006D343D" w:rsidRPr="00294460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20754</w:t>
            </w:r>
          </w:p>
        </w:tc>
        <w:tc>
          <w:tcPr>
            <w:tcW w:w="939" w:type="pct"/>
            <w:shd w:val="clear" w:color="auto" w:fill="auto"/>
          </w:tcPr>
          <w:p w:rsidR="006D343D" w:rsidRPr="00294460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61163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Витрати по напрямкам гуртків Фізкультурно-спортивний напямок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9E06BF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80718</w:t>
            </w:r>
          </w:p>
        </w:tc>
        <w:tc>
          <w:tcPr>
            <w:tcW w:w="729" w:type="pct"/>
            <w:shd w:val="clear" w:color="auto" w:fill="auto"/>
          </w:tcPr>
          <w:p w:rsidR="006D343D" w:rsidRPr="009E06BF" w:rsidRDefault="00581137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41508</w:t>
            </w:r>
          </w:p>
        </w:tc>
        <w:tc>
          <w:tcPr>
            <w:tcW w:w="939" w:type="pct"/>
            <w:shd w:val="clear" w:color="auto" w:fill="auto"/>
          </w:tcPr>
          <w:p w:rsidR="006D343D" w:rsidRPr="009E06BF" w:rsidRDefault="00581137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122325</w:t>
            </w:r>
          </w:p>
        </w:tc>
      </w:tr>
      <w:tr w:rsidR="00C5579F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79F" w:rsidRPr="00C5579F" w:rsidRDefault="00C5579F" w:rsidP="00A318A9">
            <w:pPr>
              <w:pStyle w:val="a3"/>
              <w:rPr>
                <w:b/>
                <w:lang w:val="uk-UA"/>
              </w:rPr>
            </w:pPr>
            <w:r w:rsidRPr="00C5579F">
              <w:rPr>
                <w:b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C5579F" w:rsidRDefault="00C5579F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79F" w:rsidRDefault="00C5579F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579F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79F" w:rsidRPr="00C5579F" w:rsidRDefault="00C5579F" w:rsidP="00C5579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ідсоток дітей охоплених позашкільною освітою, за місцем проживання, %;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80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C5579F" w:rsidRDefault="00AF2235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  <w:tc>
          <w:tcPr>
            <w:tcW w:w="729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79F" w:rsidRDefault="00AF2235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</w:tr>
    </w:tbl>
    <w:p w:rsidR="00A318A9" w:rsidRDefault="00A318A9" w:rsidP="00A318A9">
      <w:pPr>
        <w:pStyle w:val="a3"/>
        <w:jc w:val="both"/>
        <w:rPr>
          <w:lang w:val="uk-UA"/>
        </w:rPr>
      </w:pPr>
    </w:p>
    <w:tbl>
      <w:tblPr>
        <w:tblW w:w="15367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3"/>
        <w:gridCol w:w="2324"/>
        <w:gridCol w:w="670"/>
        <w:gridCol w:w="1345"/>
        <w:gridCol w:w="5735"/>
      </w:tblGrid>
      <w:tr w:rsidR="00F30F45" w:rsidRPr="00BA5B67" w:rsidTr="00F30F45">
        <w:trPr>
          <w:tblCellSpacing w:w="22" w:type="dxa"/>
        </w:trPr>
        <w:tc>
          <w:tcPr>
            <w:tcW w:w="1722" w:type="pct"/>
            <w:hideMark/>
          </w:tcPr>
          <w:p w:rsidR="00F30F45" w:rsidRPr="00F30F45" w:rsidRDefault="00F30F45" w:rsidP="00F30F45">
            <w:pPr>
              <w:spacing w:after="0" w:line="240" w:lineRule="auto"/>
              <w:ind w:left="182"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Начальник відділу культури, молоді, спорту та освіти Попаснянської райдержадміністрації                          </w:t>
            </w:r>
          </w:p>
        </w:tc>
        <w:tc>
          <w:tcPr>
            <w:tcW w:w="74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637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___Едуард ГАВРАШЕНКО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(ініціали/ініціал, прізвище)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387"/>
          <w:tblCellSpacing w:w="22" w:type="dxa"/>
        </w:trPr>
        <w:tc>
          <w:tcPr>
            <w:tcW w:w="4971" w:type="pct"/>
            <w:gridSpan w:val="5"/>
            <w:hideMark/>
          </w:tcPr>
          <w:p w:rsidR="00F30F45" w:rsidRPr="00F30F45" w:rsidRDefault="00F30F45" w:rsidP="00F30F45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     Управління фінансів Попаснянської РДА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951"/>
          <w:tblCellSpacing w:w="22" w:type="dxa"/>
        </w:trPr>
        <w:tc>
          <w:tcPr>
            <w:tcW w:w="1722" w:type="pct"/>
          </w:tcPr>
          <w:p w:rsidR="00F30F45" w:rsidRPr="00F30F45" w:rsidRDefault="00F30F45" w:rsidP="00F30F45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Попаснянської райдержадміністрації    </w:t>
            </w: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429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_Галина КАРАЧЕВЦЕВА____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>(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ініціали/ініціал, прізвище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:rsidR="001D6FF1" w:rsidRPr="005414E5" w:rsidRDefault="001D6FF1">
      <w:pPr>
        <w:rPr>
          <w:lang w:val="uk-UA"/>
        </w:rPr>
      </w:pPr>
    </w:p>
    <w:sectPr w:rsidR="001D6FF1" w:rsidRPr="005414E5" w:rsidSect="00E14032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83" w:rsidRDefault="00383E83" w:rsidP="005414E5">
      <w:pPr>
        <w:spacing w:after="0" w:line="240" w:lineRule="auto"/>
      </w:pPr>
      <w:r>
        <w:separator/>
      </w:r>
    </w:p>
  </w:endnote>
  <w:endnote w:type="continuationSeparator" w:id="0">
    <w:p w:rsidR="00383E83" w:rsidRDefault="00383E83" w:rsidP="0054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83" w:rsidRDefault="00383E83" w:rsidP="005414E5">
      <w:pPr>
        <w:spacing w:after="0" w:line="240" w:lineRule="auto"/>
      </w:pPr>
      <w:r>
        <w:separator/>
      </w:r>
    </w:p>
  </w:footnote>
  <w:footnote w:type="continuationSeparator" w:id="0">
    <w:p w:rsidR="00383E83" w:rsidRDefault="00383E83" w:rsidP="0054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4E5"/>
    <w:rsid w:val="001D6FF1"/>
    <w:rsid w:val="00335E9D"/>
    <w:rsid w:val="00383E83"/>
    <w:rsid w:val="005414E5"/>
    <w:rsid w:val="00581137"/>
    <w:rsid w:val="00603569"/>
    <w:rsid w:val="006406E5"/>
    <w:rsid w:val="006D343D"/>
    <w:rsid w:val="008120E7"/>
    <w:rsid w:val="008C4613"/>
    <w:rsid w:val="00900CA8"/>
    <w:rsid w:val="00A2459E"/>
    <w:rsid w:val="00A318A9"/>
    <w:rsid w:val="00AF2235"/>
    <w:rsid w:val="00BA5B67"/>
    <w:rsid w:val="00C553BC"/>
    <w:rsid w:val="00C5579F"/>
    <w:rsid w:val="00C67CD3"/>
    <w:rsid w:val="00CB50C7"/>
    <w:rsid w:val="00D36675"/>
    <w:rsid w:val="00DD6AD1"/>
    <w:rsid w:val="00E14032"/>
    <w:rsid w:val="00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75"/>
  </w:style>
  <w:style w:type="paragraph" w:styleId="3">
    <w:name w:val="heading 3"/>
    <w:basedOn w:val="a"/>
    <w:link w:val="30"/>
    <w:qFormat/>
    <w:rsid w:val="00541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4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14E5"/>
  </w:style>
  <w:style w:type="paragraph" w:styleId="a7">
    <w:name w:val="footer"/>
    <w:basedOn w:val="a"/>
    <w:link w:val="a8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14E5"/>
  </w:style>
  <w:style w:type="table" w:styleId="a9">
    <w:name w:val="Table Grid"/>
    <w:basedOn w:val="a1"/>
    <w:uiPriority w:val="59"/>
    <w:rsid w:val="0054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414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414E5"/>
    <w:rPr>
      <w:rFonts w:ascii="Tahoma" w:eastAsia="Times New Roman" w:hAnsi="Tahoma" w:cs="Tahoma"/>
      <w:sz w:val="16"/>
      <w:szCs w:val="16"/>
    </w:rPr>
  </w:style>
  <w:style w:type="paragraph" w:customStyle="1" w:styleId="ac">
    <w:name w:val="[Немає стилю абзацу]"/>
    <w:rsid w:val="005414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A318A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A318A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A318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70E9-C49A-41C2-978D-4700AE08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</cp:lastModifiedBy>
  <cp:revision>10</cp:revision>
  <cp:lastPrinted>2020-08-26T10:25:00Z</cp:lastPrinted>
  <dcterms:created xsi:type="dcterms:W3CDTF">2020-01-20T05:41:00Z</dcterms:created>
  <dcterms:modified xsi:type="dcterms:W3CDTF">2020-08-27T11:41:00Z</dcterms:modified>
</cp:coreProperties>
</file>