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DB" w:rsidRPr="00406ADB" w:rsidRDefault="00406ADB" w:rsidP="00406A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406ADB" w:rsidRPr="00406ADB" w:rsidRDefault="00406ADB" w:rsidP="00406A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Головного управління </w:t>
      </w:r>
    </w:p>
    <w:p w:rsidR="00406ADB" w:rsidRPr="00406ADB" w:rsidRDefault="00406ADB" w:rsidP="00406A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Держгеокадастру у </w:t>
      </w:r>
    </w:p>
    <w:p w:rsidR="00406ADB" w:rsidRPr="00406ADB" w:rsidRDefault="00406ADB" w:rsidP="00406A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Луганській області </w:t>
      </w:r>
    </w:p>
    <w:p w:rsidR="00406ADB" w:rsidRPr="00406ADB" w:rsidRDefault="00406ADB" w:rsidP="00406A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08.11.2019 р. № 265</w:t>
      </w:r>
    </w:p>
    <w:p w:rsidR="00406ADB" w:rsidRPr="00406ADB" w:rsidRDefault="00406ADB" w:rsidP="00406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406ADB" w:rsidRPr="00406ADB" w:rsidTr="00A1259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406ADB" w:rsidRPr="00406ADB" w:rsidRDefault="00406ADB" w:rsidP="00406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406ADB" w:rsidRPr="00406ADB" w:rsidRDefault="00406ADB" w:rsidP="00406A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6ADB" w:rsidRPr="00406ADB" w:rsidTr="00A125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6ADB" w:rsidRPr="00406ADB" w:rsidTr="00A1259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06ADB" w:rsidRPr="00406ADB" w:rsidTr="00A1259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06ADB" w:rsidRPr="00406ADB" w:rsidRDefault="00406ADB" w:rsidP="00406ADB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lang w:val="uk-UA" w:eastAsia="ru-RU"/>
                          </w:rPr>
                        </w:pPr>
                        <w:r w:rsidRPr="00406ADB"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lang w:val="uk-UA" w:eastAsia="ru-RU"/>
                          </w:rPr>
                          <w:t>інформаційнА карткА адміністративної послуги</w:t>
                        </w:r>
                      </w:p>
                      <w:p w:rsidR="00406ADB" w:rsidRPr="00406ADB" w:rsidRDefault="00406ADB" w:rsidP="00406ADB">
                        <w:pPr>
                          <w:spacing w:before="60" w:after="6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u w:val="single"/>
                            <w:shd w:val="clear" w:color="auto" w:fill="FFFFFF"/>
                            <w:lang w:val="uk-UA" w:eastAsia="ru-RU"/>
                          </w:rPr>
                        </w:pPr>
                        <w:r w:rsidRPr="00406ADB">
                          <w:rPr>
                            <w:rFonts w:ascii="Times New Roman" w:eastAsia="Times New Roman" w:hAnsi="Times New Roman" w:cs="Times New Roman"/>
                            <w:u w:val="single"/>
                            <w:shd w:val="clear" w:color="auto" w:fill="FFFFFF"/>
                            <w:lang w:val="uk-UA" w:eastAsia="ru-RU"/>
                          </w:rPr>
                          <w:t>ВИДАЧА ВИТЯГУ З ТЕХНІЧНОЇ ДОКУМЕНТАЦІЇ ПРО НОРМАТИВНУ ГРОШОВУ ОЦІНКУ ЗЕМЕЛЬНОЇ ДІЛЯНКИ</w:t>
                        </w:r>
                      </w:p>
                      <w:p w:rsidR="00406ADB" w:rsidRPr="00406ADB" w:rsidRDefault="00406ADB" w:rsidP="00406ADB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uk-UA" w:eastAsia="ru-RU"/>
                          </w:rPr>
                        </w:pPr>
                        <w:r w:rsidRPr="00406ADB">
                          <w:rPr>
                            <w:rFonts w:ascii="Times New Roman" w:eastAsia="Times New Roman" w:hAnsi="Times New Roman" w:cs="Times New Roman"/>
                            <w:caps/>
                            <w:sz w:val="16"/>
                            <w:szCs w:val="16"/>
                            <w:lang w:val="uk-UA" w:eastAsia="ru-RU"/>
                          </w:rPr>
                          <w:t>(</w:t>
                        </w:r>
                        <w:r w:rsidRPr="00406AD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uk-UA" w:eastAsia="ru-RU"/>
                          </w:rPr>
                          <w:t>назва адміністративної послуги)</w:t>
                        </w:r>
                      </w:p>
                      <w:p w:rsidR="00406ADB" w:rsidRPr="00406ADB" w:rsidRDefault="00406ADB" w:rsidP="00406ADB">
                        <w:pPr>
                          <w:shd w:val="clear" w:color="auto" w:fill="FFFFFF"/>
                          <w:spacing w:before="60" w:after="6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u w:val="single"/>
                            <w:lang w:val="uk-UA" w:eastAsia="ru-RU"/>
                          </w:rPr>
                        </w:pPr>
                        <w:r w:rsidRPr="00406ADB">
                          <w:rPr>
                            <w:rFonts w:ascii="Times New Roman" w:eastAsia="Times New Roman" w:hAnsi="Times New Roman" w:cs="Times New Roman"/>
                            <w:u w:val="single"/>
                            <w:lang w:val="uk-UA" w:eastAsia="ru-RU"/>
                          </w:rPr>
                          <w:t xml:space="preserve">Територіальні структурні підрозділи Головного управління Держгеокадастру у Луганській області </w:t>
                        </w:r>
                      </w:p>
                      <w:p w:rsidR="00406ADB" w:rsidRPr="00406ADB" w:rsidRDefault="00406ADB" w:rsidP="00406ADB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uk-UA" w:eastAsia="ru-RU"/>
                          </w:rPr>
                        </w:pPr>
                        <w:r w:rsidRPr="00406AD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uk-UA" w:eastAsia="ru-RU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68"/>
                          <w:gridCol w:w="3068"/>
                          <w:gridCol w:w="5709"/>
                        </w:tblGrid>
                        <w:tr w:rsidR="00406ADB" w:rsidRPr="00406ADB" w:rsidTr="00A12597">
                          <w:trPr>
                            <w:trHeight w:val="441"/>
                          </w:trPr>
                          <w:tc>
                            <w:tcPr>
                              <w:tcW w:w="9628" w:type="dxa"/>
                              <w:gridSpan w:val="3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Інформація про центр надання адміністративної послуги</w:t>
                              </w:r>
                            </w:p>
                          </w:tc>
                        </w:tr>
                        <w:tr w:rsidR="00406ADB" w:rsidRPr="00406ADB" w:rsidTr="00A12597">
                          <w:trPr>
                            <w:trHeight w:val="441"/>
                          </w:trPr>
                          <w:tc>
                            <w:tcPr>
                              <w:tcW w:w="3745" w:type="dxa"/>
                              <w:gridSpan w:val="2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Найменування центру надання адміністративної послуги, в якому здійснюється обслуговування суб’єкта звернення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у м. Сєвєродонецьку 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Новопсковській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Попаснянській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Міловської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Марківської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Кремінської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Старобільської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Станично-Луганської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у м. Лисичанську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Білокуракинської районної державної адміністрації 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Білокуракинської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Новоайдарській районній державній адміністрації (смт. Новоайдар)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Рубіжанської міської ради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Біловодської селищної ради Біловодського району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Троїцької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Сватівській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Чмирівської сільської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Красноріченської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Місцезнаходження центру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у м. Сєвєродонецьку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Луганська область, м.Сєвєродонецьк, бульвар Дружби Народів, 32-а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Центр надання адміністративних послуг при Новопсковській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Луганська  область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смт Новопсков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вул. Українська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,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53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Попаснянській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м. Попасна, вул. Миру (колишня Леніна), 151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Міловської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Міловський район, смт Мілове, вул. Миру,39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Марківської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Марківський район, смт Марківка, вул. Центральна, 22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Кремінської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Кремінський район, м. Кремінна, вул. Банкова, 3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Старобільської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Луган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ськ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област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ь, м. Старобільськ , вул. Гаршина, 27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Станично-Луганської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смт Станиця Луганська, вул. Барбашова, 38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у м. Лисичанську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м. Лисичанськ, вул. Гетьманська (Красногвардійська), 63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Білокуракинської районної державної адміністрації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Луганська область, Білокуракинський район, смт Білокуракине, вул. Центральна, 63-а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Білокуракинської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смт.Білокуракине, вул. Центральна (Чапаєва), 63 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 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Центр надання адміністративних послуг при Новоайдарській районній державній адміністрації (смт. Новоайдар)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облпсть, смт. Новоайдар, вул. Центральна, 28А. 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Рубіжанської міської ради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м. Рубіжне, площа Володимирська, 2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Біловодської селищної ради Біловодського району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Луганська область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Біловодський район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смт. Біловодськ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вул.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Центральна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, 130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Центр надання адміністративних послуг Троїцької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Луганська область, смт. Троїцьке, кв. Молодіжний, 6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Сватівській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Луганська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область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, м. Сватове, майдан Злагоди, 43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Чмирівської сільської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Старобільський район, с. Чмирівка, вул. Повітрянофлотська, 52-а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Красноріченської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Луганська область, Кремінський район, смт. Красноріченське, вул. Центральна, 20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2.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Інформація щодо режиму роботи центру надання адміністративної послуги 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у м. Сєвєродонецьку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8-30 до 15-30;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Вівторок 8-30 до 15-</w:t>
                              </w: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30;Середа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8-30 до 15-30;Четвер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9-30 до 20-00; П’ятниця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8-00 до 15-00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Новопсковській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Понеділок, вівторок, середа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 8-</w:t>
                              </w: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00  до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 17-00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четвер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 8-00  до 20-00 п’ятниця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 8-00  до  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5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-45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Попаснянській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Понеділок: 8:00 – 17:00; Вівторок: 8:00 – 20:00; Середа: 8:00 – 17:00; Четвер: 8:00 – 17:00; П'ятниця: 8:00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Міловської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Понеділок: 8:00 – 17:00; Вівторок: 8:00 – 20:00; Середа: 8:00 – 17:00; Четвер: 8:00 – 17:00; П'ятниця: 8:00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Марківської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 xml:space="preserve">Понеділок: 8:00 – 17:00; Вівторок: 8:00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17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 xml:space="preserve">:00; Середа: 8:00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20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:00; Четвер: 8:00 – 17:00; П'ятниця: 8:00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Кремінської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– 8:00 – 17:00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Вівторок – 8:00 – 17:00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Середа – 8:00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Четвер – 8:00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20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П’ятниця – 8:00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Старобільської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- четвер     8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17:0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0</w:t>
                              </w: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,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 П’ятниця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    8.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6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 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Станично-Луганської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Понеділок-четвер з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7:48 - 16:30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п’ятниця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7:48 - 15:30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9 </w:t>
                              </w: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Центр надання адміністративних послуг у м. Лисичанську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vertAlign w:val="superscript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Понеділок – 8:00 - 16:00, Вівторок - 8:00- 16:00, Середа - 8:00- 20:00,Четвер - 8:00 - 16:00, п`ятниця - 8:00 - 15:00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vertAlign w:val="superscript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Білокуракинської районної державної адміністрації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Понеділок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08:00 - 16:00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Вівторок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09:00 - 20:00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Середа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09:00 - 16:00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Четвер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09:00 - 16:00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П’ятниця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– 09:00 - 16:00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Білокуракинської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– 8:00 – 17:00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Вівторок – 8:00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20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Середа – 8:00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Четвер – 8:00 – 17:00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П’ятниця – 8:00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Новоайдарській районній державній адміністрації (смт. Новоайдар)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Понеділок, вівторок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8.00 - 17.00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Середа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8.00 - 20.00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Четвер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8.00 -17.</w:t>
                              </w: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П’ятниця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8.00 - 16.00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Час прийому суб’єктів звернення: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Понеділок, вівторок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8.30 - 15.30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Середа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9.00 - 20.00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Четвер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8.30 -15.30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П’ятниця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8.30 - 15.30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Рубіжанської міської ради Луганської області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Понеділок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 – 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6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Вівторок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 – 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6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Середа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13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 – 20:00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Четвер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 – 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6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П’ятниця –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Біловодської селищної ради Біловодського району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8.00-17.00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Вівторок 8.00-20.00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Середа 8.00-17.00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Четвер 8.00-17.00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П’ятниця 8.00-16.00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Троїцької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8.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45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Вівторок 8.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45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Середа 8.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45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Четвер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9:00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20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П’ятниця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.00-1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Сватівській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Понеділок – 8.00-17.00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Вівторок – 8.00-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Середа – 8.00-17.00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Четвер – 8.00-20.00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П’ятниця - 8.00- 17.00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Чмирівської сільської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Понеділок: 8:30 – 15:00;  Вівторок: 8:30 – 15:00; Середа: 8:30 – 15:30; Четвер: 8:30 – 15:30; П'ятниця: 8:30 – 13:00.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Красноріченської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Понеділок: 8:00 – 16:00; Вівторок: 8:00 – 20:00; Середа: 8:00 – 16:00;Четвер: 8:00 – 16:00; П'ятниця: 8:00 – 16:00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3.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Телефон/факс (довідки), адреса електронної пошти та веб-сайт центру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у м. Сєвєродонецьку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Телефон: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(06452) 4-43-37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електронна адреса: </w:t>
                              </w:r>
                              <w:hyperlink r:id="rId5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ispolkom@sed-rada.gov.ua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,  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hyperlink r:id="rId6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cnap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@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sed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-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rada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gov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>WEB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lang w:val="uk-UA" w:eastAsia="ru-RU"/>
                                </w:rPr>
                                <w:t>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hyperlink r:id="rId7" w:tgtFrame="_blank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http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://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www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sed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-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rada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gov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ua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/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administrativni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val="uk-UA" w:eastAsia="ru-RU"/>
                                  </w:rPr>
                                  <w:t>-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lang w:eastAsia="ru-RU"/>
                                  </w:rPr>
                                  <w:t>poslugi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Новопсковській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контактний  телефон: (06463) 21946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електронна адреса: </w:t>
                              </w:r>
                              <w:hyperlink r:id="rId8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cnapnovopskov@i.ua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  <w:hyperlink r:id="rId9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http://nvp.loga.gov.ua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Попаснянській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Контактний телефон/факс: 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(06474) 3-27-88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Cambria" w:eastAsia="Times New Roman" w:hAnsi="Cambria" w:cs="Times New Roman"/>
                                  <w:bCs/>
                                  <w:i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Електронна пошта: </w:t>
                              </w:r>
                              <w:hyperlink r:id="rId10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i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popasna-cnap@ukr.net</w:t>
                                </w:r>
                              </w:hyperlink>
                              <w:r w:rsidRPr="00406ADB">
                                <w:rPr>
                                  <w:rFonts w:ascii="Cambria" w:eastAsia="Times New Roman" w:hAnsi="Cambria" w:cs="Times New Roman"/>
                                  <w:bCs/>
                                  <w:i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  <w:hyperlink r:id="rId11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http://pps.loga.gov.ua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Міловської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Контактний телефон: 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(06465) 2-20-58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Електронна пошта: dozvil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_</w:t>
                              </w:r>
                              <w:hyperlink r:id="rId12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milove@ukr.net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;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administrator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_</w:t>
                              </w:r>
                              <w:hyperlink r:id="rId13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milove@ukr.net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  <w:hyperlink r:id="rId14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http://mil.loga.gov.ua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Марківської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контактний  телефон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: (06464)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91799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моб. телефон 0953279015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електронна адреса: </w:t>
                              </w:r>
                              <w:hyperlink r:id="rId15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Mar_Cnap2@i.ua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WEB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  <w:hyperlink r:id="rId16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http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://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mar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loga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gov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ua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Кремінської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Телефон для довідок: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(06454) 2-24-76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E-mail: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17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rdakremcentr@ukr.net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  <w:hyperlink r:id="rId18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http://krem.loga.gov.ua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Старобільської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тел. 0892500781  (зі стаціонарного телефону безкоштовно)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e-mаil: cnap -starobilsk@ ukr.net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WEB-сайт: </w:t>
                              </w:r>
                              <w:hyperlink r:id="rId19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http://stb.loga.gov.ua</w:t>
                                </w:r>
                              </w:hyperlink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Станично-Луганської районної державної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Телефон: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 xml:space="preserve"> (06472) 3-15-08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Електронна адреса: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stncnap@i.ua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hyperlink r:id="rId20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http://stn.loga.gov.ua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Центр надання адміністративних послуг у м. Лисичанську</w:t>
                              </w:r>
                            </w:p>
                            <w:p w:rsidR="00406ADB" w:rsidRPr="00406ADB" w:rsidRDefault="00406ADB" w:rsidP="00406ADB">
                              <w:pPr>
                                <w:keepNext/>
                                <w:keepLines/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outlineLvl w:val="3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  <w:lang w:val="uk-UA" w:eastAsia="ru-RU"/>
                                </w:rPr>
                                <w:t>Телефони для довідок: (06451) 7-37-23, 7-33-19, 7-31-72, (095)655-86-06; Паспортні послуги: 7-32-46; Факс: (06451)7-32-47</w:t>
                              </w:r>
                            </w:p>
                            <w:p w:rsidR="00406ADB" w:rsidRPr="00406ADB" w:rsidRDefault="00406ADB" w:rsidP="00406ADB">
                              <w:pPr>
                                <w:keepNext/>
                                <w:keepLines/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outlineLvl w:val="3"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0"/>
                                  <w:szCs w:val="20"/>
                                  <w:lang w:val="uk-UA" w:eastAsia="ru-RU"/>
                                </w:rPr>
                                <w:t>E-mail: adminposluga@lis.gov.ua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21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http://adminposluga.lis.lurenet.ua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Центр надання адміністративних послуг Білокуракинської районної державної адміністрації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Телефон: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(06462) 2 19 11;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Електронна адреса: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22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cnap.brda@ukr.net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23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http://bk.loga.gov.ua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Білокуракинської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тел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en-US" w:eastAsia="ru-RU"/>
                                </w:rPr>
                                <w:t>. (06462) 2-21-11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en-US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en-US" w:eastAsia="ru-RU"/>
                                </w:rPr>
                                <w:lastRenderedPageBreak/>
                                <w:t>E-mail: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uk-UA" w:eastAsia="ru-RU"/>
                                </w:rPr>
                                <w:t xml:space="preserve"> </w:t>
                              </w:r>
                              <w:hyperlink r:id="rId24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:shd w:val="clear" w:color="auto" w:fill="FFFFFF"/>
                                    <w:lang w:val="en-US" w:eastAsia="ru-RU"/>
                                  </w:rPr>
                                  <w:t>cnapbelokurakino@meta.ua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en-US" w:eastAsia="ru-RU"/>
                                </w:rPr>
                                <w:t>WEB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25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en-US" w:eastAsia="ru-RU"/>
                                  </w:rPr>
                                  <w:t>https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://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en-US" w:eastAsia="ru-RU"/>
                                  </w:rPr>
                                  <w:t>bilokurakynska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-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en-US" w:eastAsia="ru-RU"/>
                                  </w:rPr>
                                  <w:t>gromada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en-US" w:eastAsia="ru-RU"/>
                                  </w:rPr>
                                  <w:t>gov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en-US" w:eastAsia="ru-RU"/>
                                  </w:rPr>
                                  <w:t>ua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Новоайдарській районній державній адміністрації (смт. Новоайдар)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Контактний телефон/факс: 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(06445) 9-48-77, (06445) 9-27- 51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Електронна пошта: </w:t>
                              </w:r>
                              <w:hyperlink r:id="rId26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iCs/>
                                    <w:sz w:val="20"/>
                                    <w:szCs w:val="20"/>
                                    <w:shd w:val="clear" w:color="auto" w:fill="FFFFFF"/>
                                    <w:lang w:val="uk-UA" w:eastAsia="ru-RU"/>
                                  </w:rPr>
                                  <w:t>cnapnaydar@ukr.net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27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http://ndar.loga.gov.ua</w:t>
                                </w:r>
                              </w:hyperlink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Рубіжанської міської ради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Контактний телефон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: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(06453)6-20-60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,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(06453)6-47-32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Електронна пошта: </w:t>
                              </w:r>
                              <w:hyperlink r:id="rId28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oparu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@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rmr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gov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WEB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-сайт: </w:t>
                              </w:r>
                              <w:hyperlink r:id="rId29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http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://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www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rmr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gov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.</w:t>
                                </w:r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Біловодської селищної ради Біловодського району Луганської області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телефон/</w:t>
                              </w:r>
                              <w:proofErr w:type="gramStart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факс 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(</w:t>
                              </w:r>
                              <w:proofErr w:type="gramEnd"/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06466)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2-02-88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Адреса електронної пошти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: </w:t>
                              </w:r>
                              <w:hyperlink r:id="rId30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cnap-belovodsk@ukr.net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адреса сайту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: </w:t>
                              </w:r>
                              <w:hyperlink r:id="rId31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http://belovodsk-rada.gov.ua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val="uk-UA" w:eastAsia="ru-RU"/>
                                </w:rPr>
                                <w:t>/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Троїцької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uk-UA" w:eastAsia="ru-RU"/>
                                </w:rPr>
                                <w:t>Телефон/факс: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 (06456)2-10-21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  <w:lang w:val="uk-UA" w:eastAsia="ru-RU"/>
                                </w:rPr>
                                <w:t>Електронна адреса: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 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cnap.troitske@ukr.net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32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  <w:lang w:val="uk-UA" w:eastAsia="ru-RU"/>
                                  </w:rPr>
                                  <w:t>http://troicka-gromada.gov.ua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при Сватівській районній державній адміністрації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Контактний телефон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 099-295-22-36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E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mail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: 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admcentr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svatovo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@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gmail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com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val="uk-UA"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 </w:t>
                              </w:r>
                              <w:hyperlink r:id="rId33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val="uk-UA" w:eastAsia="ru-RU"/>
                                  </w:rPr>
                                  <w:t>http://svt.loga.gov.ua</w:t>
                                </w:r>
                              </w:hyperlink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виконавчого комітету Чмирівської сільської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>Телефон: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eastAsia="ru-RU"/>
                                </w:rPr>
                                <w:t xml:space="preserve"> (095) 370-13-50, (050) 476-47-95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Електронна адреса: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cnap.cmyrivska.gromada@gmail.com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hyperlink r:id="rId34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https://cmyrivska-gromada.gov.ua/</w:t>
                                </w:r>
                              </w:hyperlink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406ADB" w:rsidRPr="00406ADB" w:rsidRDefault="00406ADB" w:rsidP="00406AD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 </w:t>
                              </w: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Центр надання адміністративних послуг Красноріченської селищної ради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contextualSpacing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>Телефон: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shd w:val="clear" w:color="auto" w:fill="FFFFFF"/>
                                  <w:lang w:val="uk-UA" w:eastAsia="ru-RU"/>
                                </w:rPr>
                                <w:t xml:space="preserve"> (06454) 9-30-84; (050) 256-44-10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Електронна адреса: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cnap_kr-sovet@ukr.net</w:t>
                              </w:r>
                            </w:p>
                            <w:p w:rsidR="00406ADB" w:rsidRPr="00406ADB" w:rsidRDefault="00406ADB" w:rsidP="00406ADB">
                              <w:pPr>
                                <w:shd w:val="clear" w:color="auto" w:fill="FFFFFF"/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WEB-сайт: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hyperlink r:id="rId35" w:history="1">
                                <w:r w:rsidRPr="00406AD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http://krasnorichenska-gromada.gov.ua</w:t>
                                </w:r>
                              </w:hyperlink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ind w:firstLine="201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rPr>
                            <w:trHeight w:val="455"/>
                          </w:trPr>
                          <w:tc>
                            <w:tcPr>
                              <w:tcW w:w="9628" w:type="dxa"/>
                              <w:gridSpan w:val="3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i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Нормативні акти, якими регламентується надання адміністративної послуги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Закони України 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Статті 20, 23 Закону України «Про оцінку земель»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Акти Кабінету Міністрів України 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Постанова Кабінету Міністрів України від 23 березня 1995 р.           № 213 «Про Методику нормативної грошової оцінки земель населених пунктів»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Постанова Кабінету Міністрів України від 23 листопада 2011 р.      № 1278 «Про затвердження Методики нормативної грошової оцінки земель несільськогосподарського призначення (крім земель населених пунктів) »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Постанова Кабінету Міністрів України від 16 листопада 2016 р.     № 831 «Про затвердження Методики нормативної грошової оцінки земель сільськогосподарського призначення»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Постанова Кабінету Міністрів України від 7 лютого 2018 р. № 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 xml:space="preserve">Розпорядження Кабінету Міністрів України від 16 травня 2014 р. № 523-р «Деякі питання надання адміністративних послуг органів виконавчої влади через центри надання адміністративних послуг»    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Акти центральних органів виконавчої влади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Наказ Міністерства аграрної політики та продовольства України від 22.08.2013 № 508 «Про затвердження Порядку нормативної грошової оцінки земель несільськогосподарського призначення (крім земель населених пунктів)», зареєстрований в Міністерстві юстиції України 12 вересня 2013 р. за № 1573/24105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Наказ Міністерства аграрної політики та продовольства України від 25.11.2016 № 489 «Про затвердження Порядку нормативної грошової оцінки земель населених пунктів», зареєстрований в Міністерстві юстиції України 19 грудня 2016 р. за № 1647/29777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Наказ Міністерства аграрної політики та продовольства України від 23.05.2017  № 262 «Про затвердження Порядку нормативної грошової оцінки земель сільськогосподарського призначення», зареєстрований в Міністерстві юстиції України 31 травня 2017 р. за № 679/30547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Акти місцевих органів виконавчої влади/ органів місцевого самоврядування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i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rPr>
                            <w:trHeight w:val="471"/>
                          </w:trPr>
                          <w:tc>
                            <w:tcPr>
                              <w:tcW w:w="9628" w:type="dxa"/>
                              <w:gridSpan w:val="3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i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Умови отримання адміністративної послуги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Підстава для одержання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Заява юридичної, фізичної особи, органу державної влади або органу місцевого самоврядування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Вичерпний перелік документів, необхідних для отримання адміністративної послуги, а також вимоги до них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1. Заява про надання витягу з технічної документації про нормативну грошову оцінку земельної ділянки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2. </w:t>
                              </w:r>
                              <w:r w:rsidRPr="00406A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Документ, який підтверджує повноваження діяти від імені заявника (у разі подання заяви уповноваженою заявником особою)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Порядок та спосіб подання документів, необхідних для отримання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Подаються до центру надання адміністративних послуг особисто заявником (уповноваженою особою заявника), направлення поштою або в електронній формі через Єдиний державний портал адміністративних послуг, в тому числі через інтегровану з ним інформаційну систему Держгеокадастру.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Платність (безоплатність)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Безоплатно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Строк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Строк, що не перевищує трьох робочих днів з дати реєстрації відповідної заяви у територіальному органі Держгеокадастру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Перелік підстав для відмови у наданні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1. Відсутність технічної документації з нормативної грошової оцінки земель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i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2. Земельна ділянка несформована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Результат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Витяг з технічної документації про нормативну грошову оцінку земельної ділянки або відмова у видачі такого витягу</w:t>
                              </w:r>
                            </w:p>
                          </w:tc>
                        </w:tr>
                        <w:tr w:rsidR="00406ADB" w:rsidRPr="00406ADB" w:rsidTr="00A12597">
                          <w:trPr>
                            <w:trHeight w:val="70"/>
                          </w:trPr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Способи отримання відповіді (результату)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заяві.</w:t>
                              </w:r>
                            </w:p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У разі подання заяви в електронній формі результат може  надаватись в електронній формі технічними засобами телекомунікацій з накладенням кваліфікованого електронного підпису.</w:t>
                              </w:r>
                            </w:p>
                          </w:tc>
                        </w:tr>
                        <w:tr w:rsidR="00406ADB" w:rsidRPr="00406ADB" w:rsidTr="00A12597">
                          <w:tc>
                            <w:tcPr>
                              <w:tcW w:w="577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b/>
                                  <w:sz w:val="20"/>
                                  <w:szCs w:val="20"/>
                                  <w:lang w:val="uk-UA" w:eastAsia="ru-RU"/>
                                </w:rPr>
                                <w:lastRenderedPageBreak/>
                                <w:t>16.</w:t>
                              </w:r>
                            </w:p>
                          </w:tc>
                          <w:tc>
                            <w:tcPr>
                              <w:tcW w:w="3168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  <w:r w:rsidRPr="00406ADB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  <w:t>Примітка</w:t>
                              </w:r>
                            </w:p>
                          </w:tc>
                          <w:tc>
                            <w:tcPr>
                              <w:tcW w:w="5883" w:type="dxa"/>
                              <w:shd w:val="clear" w:color="auto" w:fill="auto"/>
                            </w:tcPr>
                            <w:p w:rsidR="00406ADB" w:rsidRPr="00406ADB" w:rsidRDefault="00406ADB" w:rsidP="00406ADB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</w:tbl>
                      <w:p w:rsidR="00406ADB" w:rsidRPr="00406ADB" w:rsidRDefault="00406ADB" w:rsidP="00406ADB">
                        <w:pPr>
                          <w:spacing w:before="60" w:after="6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</w:tr>
                </w:tbl>
                <w:p w:rsidR="00406ADB" w:rsidRPr="00406ADB" w:rsidRDefault="00406ADB" w:rsidP="0040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406ADB" w:rsidRPr="00406ADB" w:rsidRDefault="00406ADB" w:rsidP="00406ADB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406ADB" w:rsidRPr="00406ADB" w:rsidRDefault="00406ADB" w:rsidP="0040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06ADB" w:rsidRPr="00406ADB" w:rsidRDefault="00406ADB" w:rsidP="0040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06ADB" w:rsidRPr="00406ADB" w:rsidRDefault="00406ADB" w:rsidP="0040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06ADB" w:rsidRPr="00406ADB" w:rsidRDefault="00406ADB" w:rsidP="00406A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E7380" w:rsidRDefault="00AE7380">
      <w:bookmarkStart w:id="0" w:name="_GoBack"/>
      <w:bookmarkEnd w:id="0"/>
    </w:p>
    <w:sectPr w:rsidR="00AE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8B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761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77F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D4839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15DDC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5451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423C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661F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028BE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20D97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004FA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3C"/>
    <w:rsid w:val="00406ADB"/>
    <w:rsid w:val="00AE7380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D5CCD-9C54-4DF6-A8E0-FCBA3C0F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2632</Words>
  <Characters>15006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2020-05-18T05:10:00Z</dcterms:created>
  <dcterms:modified xsi:type="dcterms:W3CDTF">2020-05-18T05:11:00Z</dcterms:modified>
</cp:coreProperties>
</file>