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F4" w:rsidRPr="001C7721" w:rsidRDefault="001C7721" w:rsidP="001C7721">
      <w:pPr>
        <w:jc w:val="center"/>
        <w:rPr>
          <w:sz w:val="36"/>
          <w:szCs w:val="36"/>
        </w:rPr>
      </w:pPr>
      <w:r w:rsidRPr="001C7721">
        <w:rPr>
          <w:rFonts w:ascii="SourceSansPro" w:hAnsi="SourceSansPro"/>
          <w:color w:val="1D1D1B"/>
          <w:sz w:val="36"/>
          <w:szCs w:val="36"/>
          <w:shd w:val="clear" w:color="auto" w:fill="FFFFFF"/>
        </w:rPr>
        <w:t>Встановлено розміри та порядок виплати щорічної разової грошової допомоги до 5 травня у 2019 році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20 березня 2019 року Кабінет Міністрів прийняв постанову „Деякі питання виплати у 2019 році разової грошової допомоги, передбаченої законами України „Про статус ветеранів війни, гарантії їх соціального захисту” і „Про жертви нацистських переслідувань”.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Ухваленим документом встановлюються розміри та порядок виплати щорічної разової грошової допомоги до 5 травня учасникам бойових дій, постраждалим учасникам Революції Гідності, особам з інвалідністю внаслідок війни, учасникам війни, особам, які мають особливі заслуги перед Батьківщиною, та особам, на яких поширюється чинність Закону України „Про статус ветеранів війни, гарантії їх соціального захисту”, а також жертвам нацистських переслідувань.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Отже, згідно з прийнятим Урядом рішенням виплату щорічної разової грошової допомоги до 5 травня у 2019 році передбачено у таких розмірах: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1) особам з інвалідністю внаслідок війни та колишнім малолітнім (яким на момент ув’язнення не виповнилося 14 років) в’язням концентраційних таборів, гетто та інших місць примусового тримання, визнаним особами з інвалідністю внаслідок загального захворювання, трудового каліцтва та з інших причин: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I групи – 3 850 гривень;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II групи – 3 400 гривень;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III групи – 2 950 гривень;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2) учасникам бойових дій, постраждалим учасникам Революції Гідності та колишнім неповнолітнім (яким на момент ув’язнення не виповнилося 18 років) в’язням концентраційних таборів, гетто, інших місць примусового тримання, а також дітям, які народилися у зазначених місцях примусового тримання їхніх батьків, – 1 295 гривень;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3) особам, які мають особливі заслуги перед Батьківщиною, – 3 850 гривень;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4) членам сімей загиблих і дружинам (чоловікам) померлих осіб з інвалідністю внаслідок війни, дружинам (чоловікам) померлих учасників бойових дій, учасників війни та жертв нацистських переслідувань, визнаних за життя особами з інвалідністю внаслідок загального захворювання, трудового каліцтва та з інших причин, які не одружилися вдруге, – 840 гривень;</w:t>
      </w:r>
    </w:p>
    <w:p w:rsidR="001C7721" w:rsidRPr="001C7721" w:rsidRDefault="001C7721" w:rsidP="001C7721">
      <w:pPr>
        <w:shd w:val="clear" w:color="auto" w:fill="FFFFFF"/>
        <w:spacing w:after="330" w:line="330" w:lineRule="atLeast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</w:pPr>
      <w:r w:rsidRPr="001C7721">
        <w:rPr>
          <w:rFonts w:ascii="SourceSansPro" w:eastAsia="Times New Roman" w:hAnsi="SourceSansPro" w:cs="Times New Roman"/>
          <w:color w:val="1D1D1B"/>
          <w:sz w:val="24"/>
          <w:szCs w:val="24"/>
          <w:lang w:eastAsia="uk-UA"/>
        </w:rPr>
        <w:t>5) учасникам війни та колишнім в’язням концентраційних таборів, гетто, інших місць примусового тримання, особам, які були насильно вивезені на примусові роботи, дітям партизанів, підпільників, інших учасників боротьби з націонал-соціалістським режимом у тилу ворога – 530 гривень.</w:t>
      </w:r>
      <w:bookmarkStart w:id="0" w:name="_GoBack"/>
      <w:bookmarkEnd w:id="0"/>
    </w:p>
    <w:sectPr w:rsidR="001C7721" w:rsidRPr="001C7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40"/>
    <w:rsid w:val="001C7721"/>
    <w:rsid w:val="002D13F4"/>
    <w:rsid w:val="0032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6E33"/>
  <w15:chartTrackingRefBased/>
  <w15:docId w15:val="{4B3F1764-9731-4014-9253-954FF4F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1493</Words>
  <Characters>852</Characters>
  <Application>Microsoft Office Word</Application>
  <DocSecurity>0</DocSecurity>
  <Lines>7</Lines>
  <Paragraphs>4</Paragraphs>
  <ScaleCrop>false</ScaleCrop>
  <Company>SPecialiST RePack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2019-03-21T10:31:00Z</dcterms:created>
  <dcterms:modified xsi:type="dcterms:W3CDTF">2019-03-21T10:32:00Z</dcterms:modified>
</cp:coreProperties>
</file>