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F4" w:rsidRDefault="00377EF4" w:rsidP="00377EF4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377EF4" w:rsidRDefault="00377EF4" w:rsidP="00377EF4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377EF4" w:rsidRDefault="00377EF4" w:rsidP="00377EF4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377EF4" w:rsidRDefault="00377EF4" w:rsidP="00377EF4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377EF4" w:rsidRDefault="00377EF4" w:rsidP="00377EF4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377EF4" w:rsidRDefault="00377EF4" w:rsidP="00377EF4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DB342A" w:rsidRPr="00C20784" w:rsidRDefault="00DB342A" w:rsidP="00DB342A">
      <w:pPr>
        <w:ind w:left="6379"/>
        <w:jc w:val="left"/>
        <w:rPr>
          <w:sz w:val="24"/>
          <w:szCs w:val="24"/>
          <w:lang w:eastAsia="uk-UA"/>
        </w:rPr>
      </w:pPr>
    </w:p>
    <w:p w:rsidR="003062C7" w:rsidRPr="00734FBC" w:rsidRDefault="003062C7" w:rsidP="003062C7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 xml:space="preserve">ІНФОРМАЦІЙНА КАРТКА </w:t>
      </w:r>
      <w:r w:rsidR="00E949A3" w:rsidRPr="00734FBC">
        <w:rPr>
          <w:b/>
          <w:color w:val="000000" w:themeColor="text1"/>
          <w:sz w:val="24"/>
          <w:szCs w:val="24"/>
          <w:lang w:eastAsia="uk-UA"/>
        </w:rPr>
        <w:t>№31-09</w:t>
      </w:r>
    </w:p>
    <w:p w:rsidR="00E36B7D" w:rsidRPr="00E65248" w:rsidRDefault="003062C7" w:rsidP="003062C7">
      <w:pPr>
        <w:tabs>
          <w:tab w:val="left" w:pos="3969"/>
        </w:tabs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адміністративної послуги з</w:t>
      </w:r>
      <w:r w:rsidR="009510D0" w:rsidRPr="00E65248">
        <w:rPr>
          <w:b/>
          <w:color w:val="000000" w:themeColor="text1"/>
          <w:sz w:val="24"/>
          <w:szCs w:val="24"/>
          <w:lang w:eastAsia="uk-UA"/>
        </w:rPr>
        <w:t xml:space="preserve"> </w:t>
      </w:r>
      <w:r w:rsidR="00E36B7D" w:rsidRPr="00E65248">
        <w:rPr>
          <w:b/>
          <w:color w:val="000000" w:themeColor="text1"/>
          <w:sz w:val="24"/>
          <w:szCs w:val="24"/>
          <w:lang w:eastAsia="uk-UA"/>
        </w:rPr>
        <w:t>державної реєстрації рішення про відміну рішення про припинення юридичної особи (крім громадського формування)</w:t>
      </w:r>
    </w:p>
    <w:p w:rsidR="00DB342A" w:rsidRPr="002B5B5A" w:rsidRDefault="00DB342A" w:rsidP="00DB342A">
      <w:pPr>
        <w:jc w:val="center"/>
        <w:rPr>
          <w:b/>
          <w:sz w:val="20"/>
          <w:szCs w:val="20"/>
          <w:u w:val="single"/>
          <w:lang w:eastAsia="uk-UA"/>
        </w:rPr>
      </w:pPr>
      <w:bookmarkStart w:id="0" w:name="n13"/>
      <w:bookmarkEnd w:id="0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</w:p>
    <w:p w:rsidR="00691C1E" w:rsidRPr="00E65248" w:rsidRDefault="00691C1E" w:rsidP="00691C1E">
      <w:pPr>
        <w:jc w:val="center"/>
        <w:rPr>
          <w:color w:val="000000" w:themeColor="text1"/>
          <w:sz w:val="20"/>
          <w:szCs w:val="20"/>
          <w:lang w:eastAsia="uk-UA"/>
        </w:rPr>
      </w:pPr>
      <w:r w:rsidRPr="00E65248">
        <w:rPr>
          <w:color w:val="000000" w:themeColor="text1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E65248" w:rsidRDefault="00F03E60" w:rsidP="00F03E60">
      <w:pPr>
        <w:jc w:val="center"/>
        <w:rPr>
          <w:color w:val="000000" w:themeColor="text1"/>
          <w:sz w:val="20"/>
          <w:szCs w:val="20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3349"/>
        <w:gridCol w:w="6594"/>
      </w:tblGrid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61FD" w:rsidRPr="00377EF4" w:rsidRDefault="00F361FD" w:rsidP="00F361F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77EF4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E65248" w:rsidRDefault="00F361FD" w:rsidP="00F361FD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377EF4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DB342A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0768B1" w:rsidRDefault="00DB342A" w:rsidP="00DF520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93302,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DB342A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0768B1" w:rsidRDefault="00DB342A" w:rsidP="00A66045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DF5209">
              <w:rPr>
                <w:sz w:val="24"/>
                <w:szCs w:val="24"/>
              </w:rPr>
              <w:t>:00 до 16:00</w:t>
            </w:r>
          </w:p>
        </w:tc>
      </w:tr>
      <w:tr w:rsidR="00DB342A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E65248" w:rsidRDefault="00DB342A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342A" w:rsidRPr="000768B1" w:rsidRDefault="00DB342A" w:rsidP="00A66045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DB342A" w:rsidRPr="000768B1" w:rsidRDefault="007A75D3" w:rsidP="00A66045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DB342A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DB342A" w:rsidRPr="00251680" w:rsidRDefault="00DB342A" w:rsidP="00A66045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–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EEC" w:rsidRPr="00E65248" w:rsidRDefault="00F03E60" w:rsidP="00F34EE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F34EEC" w:rsidRPr="00E65248">
              <w:rPr>
                <w:color w:val="000000" w:themeColor="text1"/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E65248" w:rsidRDefault="009510D0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9550A1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Звернення уповноваженого представника  юридичної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974A9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E65248">
              <w:rPr>
                <w:color w:val="000000" w:themeColor="text1"/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58EA" w:rsidRPr="00E65248" w:rsidRDefault="00E36B7D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2" w:name="n550"/>
            <w:bookmarkEnd w:id="2"/>
            <w:r w:rsidRPr="00E65248">
              <w:rPr>
                <w:color w:val="000000" w:themeColor="text1"/>
                <w:sz w:val="24"/>
                <w:szCs w:val="24"/>
              </w:rPr>
              <w:t>П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>–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рішення</w:t>
            </w:r>
            <w:r w:rsidR="003B608D" w:rsidRPr="00E65248">
              <w:rPr>
                <w:color w:val="000000" w:themeColor="text1"/>
                <w:sz w:val="24"/>
                <w:szCs w:val="24"/>
              </w:rPr>
              <w:t xml:space="preserve"> відповідного державного органу</w:t>
            </w:r>
            <w:r w:rsidR="005D58EA" w:rsidRPr="00E65248">
              <w:rPr>
                <w:color w:val="000000" w:themeColor="text1"/>
                <w:sz w:val="24"/>
                <w:szCs w:val="24"/>
              </w:rPr>
              <w:t xml:space="preserve"> про відміну рішення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 xml:space="preserve"> про припинення юридичної особи;</w:t>
            </w:r>
          </w:p>
          <w:p w:rsidR="00FF276E" w:rsidRPr="00E65248" w:rsidRDefault="00FF276E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примірник оригіналу (нотаріально засвідчена копія)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D974A9" w:rsidRPr="00E65248" w:rsidRDefault="00D974A9" w:rsidP="00D974A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F03E60" w:rsidRPr="00377EF4" w:rsidRDefault="000A22BC" w:rsidP="000A22BC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3" w:name="_GoBack"/>
            <w:r w:rsidRPr="00377EF4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  <w:bookmarkEnd w:id="3"/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У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паперовій формі </w:t>
            </w:r>
            <w:r w:rsidR="005316A9" w:rsidRPr="00E65248">
              <w:rPr>
                <w:color w:val="000000" w:themeColor="text1"/>
                <w:sz w:val="24"/>
                <w:szCs w:val="24"/>
              </w:rPr>
              <w:t xml:space="preserve">документи </w:t>
            </w:r>
            <w:r w:rsidRPr="00E65248">
              <w:rPr>
                <w:color w:val="000000" w:themeColor="text1"/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E65248" w:rsidRDefault="00F03E60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В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окументи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подаються </w:t>
            </w:r>
            <w:r w:rsidRPr="00E65248">
              <w:rPr>
                <w:color w:val="000000" w:themeColor="text1"/>
                <w:sz w:val="24"/>
                <w:szCs w:val="24"/>
              </w:rPr>
              <w:t>че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рез портал електронних сервісів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F276E" w:rsidRPr="00E65248" w:rsidRDefault="00FF276E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E65248" w:rsidRDefault="00F03E60" w:rsidP="00A757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ендарних днів з дати їх </w:t>
            </w:r>
            <w:r w:rsidR="009830C1" w:rsidRPr="00E65248">
              <w:rPr>
                <w:color w:val="000000" w:themeColor="text1"/>
                <w:sz w:val="24"/>
                <w:szCs w:val="24"/>
                <w:lang w:eastAsia="uk-UA"/>
              </w:rPr>
              <w:t>зупинення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E65248" w:rsidRDefault="00E36B7D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E65248">
              <w:rPr>
                <w:color w:val="000000" w:themeColor="text1"/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2271C" w:rsidRPr="00E65248" w:rsidRDefault="0052271C" w:rsidP="0052271C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F03E60" w:rsidRPr="00E65248" w:rsidRDefault="0052271C" w:rsidP="0052271C">
            <w:pPr>
              <w:tabs>
                <w:tab w:val="left" w:pos="-67"/>
              </w:tabs>
              <w:ind w:firstLine="217"/>
              <w:rPr>
                <w:strike/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й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E36B7D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F03E60" w:rsidRPr="00E65248">
              <w:rPr>
                <w:color w:val="000000" w:themeColor="text1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містяться відомості про судове рішення щодо заборони проведення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реєстраційної дії;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E65248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F03E60" w:rsidRPr="00E65248" w:rsidRDefault="00F03E60" w:rsidP="00D66DA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невідповідні</w:t>
            </w:r>
            <w:r w:rsidR="009510D0" w:rsidRPr="00E65248">
              <w:rPr>
                <w:color w:val="000000" w:themeColor="text1"/>
                <w:sz w:val="24"/>
                <w:szCs w:val="24"/>
                <w:lang w:eastAsia="uk-UA"/>
              </w:rPr>
              <w:t>сть найменування вимогам закону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74A9" w:rsidRPr="00E65248" w:rsidRDefault="00E36B7D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7" w:name="o638"/>
            <w:bookmarkEnd w:id="7"/>
            <w:r w:rsidRPr="00E65248">
              <w:rPr>
                <w:color w:val="000000" w:themeColor="text1"/>
                <w:sz w:val="24"/>
                <w:szCs w:val="24"/>
              </w:rPr>
              <w:t>В</w:t>
            </w:r>
            <w:r w:rsidR="00D974A9" w:rsidRPr="00E65248">
              <w:rPr>
                <w:color w:val="000000" w:themeColor="text1"/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974A9" w:rsidRPr="00E65248" w:rsidRDefault="00D974A9" w:rsidP="00D974A9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ємців та громадських формувань</w:t>
            </w:r>
            <w:r w:rsidRPr="00E65248">
              <w:rPr>
                <w:color w:val="000000" w:themeColor="text1"/>
                <w:sz w:val="24"/>
                <w:szCs w:val="24"/>
              </w:rPr>
              <w:t>;</w:t>
            </w:r>
          </w:p>
          <w:p w:rsidR="00F03E60" w:rsidRPr="00E65248" w:rsidRDefault="00D974A9" w:rsidP="007B7605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го переліку підстав для відмови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Ре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зультати надання адміністративної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послуг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и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сфері державної реєстрації 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D0C9F"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>.</w:t>
            </w:r>
          </w:p>
          <w:p w:rsidR="00303F35" w:rsidRPr="00E65248" w:rsidRDefault="00303F35" w:rsidP="00303F35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документів для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державн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реєстраці</w:t>
            </w:r>
            <w:r w:rsidR="00E60B71" w:rsidRPr="00E65248">
              <w:rPr>
                <w:color w:val="000000" w:themeColor="text1"/>
                <w:sz w:val="24"/>
                <w:szCs w:val="24"/>
              </w:rPr>
              <w:t>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паперовій формі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>*.</w:t>
            </w:r>
          </w:p>
          <w:p w:rsidR="00FF276E" w:rsidRPr="00E65248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D0C9F" w:rsidRPr="00E65248" w:rsidRDefault="00ED0C9F" w:rsidP="00ED0C9F">
      <w:pPr>
        <w:tabs>
          <w:tab w:val="left" w:pos="9564"/>
        </w:tabs>
        <w:rPr>
          <w:color w:val="000000" w:themeColor="text1"/>
          <w:sz w:val="6"/>
          <w:szCs w:val="6"/>
        </w:rPr>
      </w:pPr>
      <w:bookmarkStart w:id="8" w:name="n43"/>
      <w:bookmarkEnd w:id="8"/>
      <w:r w:rsidRPr="00E65248">
        <w:rPr>
          <w:color w:val="000000" w:themeColor="text1"/>
          <w:sz w:val="6"/>
          <w:szCs w:val="6"/>
        </w:rPr>
        <w:t>________________________</w:t>
      </w:r>
    </w:p>
    <w:p w:rsidR="00D574C9" w:rsidRPr="00E65248" w:rsidRDefault="00D574C9" w:rsidP="00F03E60">
      <w:pPr>
        <w:jc w:val="right"/>
        <w:rPr>
          <w:color w:val="000000" w:themeColor="text1"/>
          <w:sz w:val="24"/>
          <w:szCs w:val="24"/>
        </w:rPr>
      </w:pPr>
    </w:p>
    <w:p w:rsidR="00D574C9" w:rsidRPr="00E65248" w:rsidRDefault="00D574C9" w:rsidP="00F03E60">
      <w:pPr>
        <w:jc w:val="right"/>
        <w:rPr>
          <w:color w:val="000000" w:themeColor="text1"/>
          <w:sz w:val="24"/>
          <w:szCs w:val="24"/>
        </w:rPr>
      </w:pPr>
    </w:p>
    <w:p w:rsidR="00DD003D" w:rsidRPr="00E65248" w:rsidRDefault="00DB342A">
      <w:pPr>
        <w:rPr>
          <w:color w:val="000000" w:themeColor="text1"/>
        </w:rPr>
      </w:pPr>
      <w:r w:rsidRPr="00BC000B">
        <w:rPr>
          <w:b/>
          <w:color w:val="000000" w:themeColor="text1"/>
          <w:sz w:val="24"/>
          <w:szCs w:val="24"/>
        </w:rPr>
        <w:t xml:space="preserve"> </w:t>
      </w:r>
    </w:p>
    <w:sectPr w:rsidR="00DD003D" w:rsidRPr="00E65248" w:rsidSect="00ED0C9F">
      <w:headerReference w:type="default" r:id="rId7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D3" w:rsidRDefault="007A75D3">
      <w:r>
        <w:separator/>
      </w:r>
    </w:p>
  </w:endnote>
  <w:endnote w:type="continuationSeparator" w:id="0">
    <w:p w:rsidR="007A75D3" w:rsidRDefault="007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D3" w:rsidRDefault="007A75D3">
      <w:r>
        <w:separator/>
      </w:r>
    </w:p>
  </w:footnote>
  <w:footnote w:type="continuationSeparator" w:id="0">
    <w:p w:rsidR="007A75D3" w:rsidRDefault="007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Pr="00691C1E" w:rsidRDefault="00010AF8">
    <w:pPr>
      <w:pStyle w:val="a4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="00231327" w:rsidRPr="00231327">
      <w:rPr>
        <w:noProof/>
        <w:sz w:val="22"/>
        <w:szCs w:val="22"/>
        <w:lang w:val="ru-RU"/>
      </w:rPr>
      <w:t>3</w:t>
    </w:r>
    <w:r w:rsidRPr="00691C1E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5742E"/>
    <w:rsid w:val="000A22BC"/>
    <w:rsid w:val="00153647"/>
    <w:rsid w:val="001816A9"/>
    <w:rsid w:val="001B1F75"/>
    <w:rsid w:val="00231327"/>
    <w:rsid w:val="002B1D6A"/>
    <w:rsid w:val="002B4E73"/>
    <w:rsid w:val="002B5C2B"/>
    <w:rsid w:val="00303F35"/>
    <w:rsid w:val="003062C7"/>
    <w:rsid w:val="00372F6B"/>
    <w:rsid w:val="00377EF4"/>
    <w:rsid w:val="003B608D"/>
    <w:rsid w:val="0051645B"/>
    <w:rsid w:val="0052271C"/>
    <w:rsid w:val="005316A9"/>
    <w:rsid w:val="005D58EA"/>
    <w:rsid w:val="0061775A"/>
    <w:rsid w:val="00691C1E"/>
    <w:rsid w:val="006B412D"/>
    <w:rsid w:val="006F3CA7"/>
    <w:rsid w:val="00734FBC"/>
    <w:rsid w:val="007A61F9"/>
    <w:rsid w:val="007A75D3"/>
    <w:rsid w:val="007B7605"/>
    <w:rsid w:val="007E7C5F"/>
    <w:rsid w:val="0085612A"/>
    <w:rsid w:val="00886954"/>
    <w:rsid w:val="00916711"/>
    <w:rsid w:val="00942C86"/>
    <w:rsid w:val="009510D0"/>
    <w:rsid w:val="009550A1"/>
    <w:rsid w:val="009830C1"/>
    <w:rsid w:val="00A01744"/>
    <w:rsid w:val="00A21B8E"/>
    <w:rsid w:val="00A25FFC"/>
    <w:rsid w:val="00A57506"/>
    <w:rsid w:val="00A75712"/>
    <w:rsid w:val="00B22FA0"/>
    <w:rsid w:val="00B2774E"/>
    <w:rsid w:val="00B54254"/>
    <w:rsid w:val="00BB06FD"/>
    <w:rsid w:val="00BC000B"/>
    <w:rsid w:val="00BD3AD0"/>
    <w:rsid w:val="00C36C08"/>
    <w:rsid w:val="00C902E8"/>
    <w:rsid w:val="00CC721F"/>
    <w:rsid w:val="00D4455D"/>
    <w:rsid w:val="00D574C9"/>
    <w:rsid w:val="00D66DAD"/>
    <w:rsid w:val="00D974A9"/>
    <w:rsid w:val="00DB342A"/>
    <w:rsid w:val="00DC2A9F"/>
    <w:rsid w:val="00DD003D"/>
    <w:rsid w:val="00DF5209"/>
    <w:rsid w:val="00E01DE7"/>
    <w:rsid w:val="00E36B7D"/>
    <w:rsid w:val="00E60B71"/>
    <w:rsid w:val="00E65248"/>
    <w:rsid w:val="00E9314C"/>
    <w:rsid w:val="00E949A3"/>
    <w:rsid w:val="00ED0C9F"/>
    <w:rsid w:val="00F03964"/>
    <w:rsid w:val="00F03E60"/>
    <w:rsid w:val="00F27DF4"/>
    <w:rsid w:val="00F34EEC"/>
    <w:rsid w:val="00F361FD"/>
    <w:rsid w:val="00F46A92"/>
    <w:rsid w:val="00FD337F"/>
    <w:rsid w:val="00FD7ACE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FC0D9-35D0-4953-B8D0-875BA4D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0A22B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18</cp:revision>
  <cp:lastPrinted>2016-07-12T12:41:00Z</cp:lastPrinted>
  <dcterms:created xsi:type="dcterms:W3CDTF">2017-01-17T11:25:00Z</dcterms:created>
  <dcterms:modified xsi:type="dcterms:W3CDTF">2018-07-09T07:52:00Z</dcterms:modified>
</cp:coreProperties>
</file>